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31CB5E" w14:textId="3DE9B014" w:rsidR="00374F7E" w:rsidRPr="00291FBC" w:rsidRDefault="00771397" w:rsidP="00291FBC">
      <w:pPr>
        <w:spacing w:line="360" w:lineRule="auto"/>
        <w:jc w:val="both"/>
        <w:rPr>
          <w:color w:val="000000" w:themeColor="text1"/>
          <w:sz w:val="32"/>
          <w:szCs w:val="32"/>
        </w:rPr>
      </w:pPr>
      <w:bookmarkStart w:id="0" w:name="_Hlk156394653"/>
      <w:r>
        <w:rPr>
          <w:color w:val="000000" w:themeColor="text1"/>
          <w:sz w:val="32"/>
          <w:szCs w:val="32"/>
          <w:lang w:val="en"/>
        </w:rPr>
        <w:t>Early loan repayment - decision of the President of the Office of Competition and Consumer Protection (UOKiK) in relation to LoanMe</w:t>
      </w:r>
    </w:p>
    <w:p w14:paraId="3970C640" w14:textId="7D83A731" w:rsidR="00291FBC" w:rsidRPr="00291FBC" w:rsidRDefault="00291FBC" w:rsidP="008E444A">
      <w:pPr>
        <w:pStyle w:val="Akapitzlist"/>
        <w:numPr>
          <w:ilvl w:val="0"/>
          <w:numId w:val="6"/>
        </w:numPr>
        <w:shd w:val="clear" w:color="auto" w:fill="FFFFFF"/>
        <w:spacing w:after="240" w:line="360" w:lineRule="auto"/>
        <w:jc w:val="both"/>
        <w:rPr>
          <w:sz w:val="22"/>
        </w:rPr>
      </w:pPr>
      <w:r>
        <w:rPr>
          <w:b/>
          <w:bCs/>
          <w:sz w:val="22"/>
          <w:lang w:val="en"/>
        </w:rPr>
        <w:t>Have you repaid your loan early? You are entitled to be reimbursed for part of the commission and other fees.</w:t>
      </w:r>
    </w:p>
    <w:p w14:paraId="529B0A14" w14:textId="080763F9" w:rsidR="00D340BC" w:rsidRDefault="00B459B2" w:rsidP="008E444A">
      <w:pPr>
        <w:pStyle w:val="Akapitzlist"/>
        <w:numPr>
          <w:ilvl w:val="0"/>
          <w:numId w:val="6"/>
        </w:numPr>
        <w:shd w:val="clear" w:color="auto" w:fill="FFFFFF"/>
        <w:spacing w:after="240" w:line="360" w:lineRule="auto"/>
        <w:jc w:val="both"/>
        <w:rPr>
          <w:rFonts w:cs="Tahoma"/>
          <w:b/>
          <w:bCs/>
          <w:color w:val="000000" w:themeColor="text1"/>
          <w:sz w:val="22"/>
        </w:rPr>
      </w:pPr>
      <w:r>
        <w:rPr>
          <w:rFonts w:cs="Tahoma"/>
          <w:b/>
          <w:bCs/>
          <w:color w:val="000000" w:themeColor="text1"/>
          <w:sz w:val="22"/>
          <w:lang w:val="en"/>
        </w:rPr>
        <w:t>The President of the Office of Competition and Consumer Protection (UOKiK) rendered a decision against LoanMe, which had failed to reimburse consumers for due costs and had been misleading about their obligations in this respect.</w:t>
      </w:r>
    </w:p>
    <w:p w14:paraId="21F30935" w14:textId="3E6EBDFC" w:rsidR="00497252" w:rsidRPr="00C1323F" w:rsidRDefault="00B459B2" w:rsidP="008E444A">
      <w:pPr>
        <w:pStyle w:val="Akapitzlist"/>
        <w:numPr>
          <w:ilvl w:val="0"/>
          <w:numId w:val="6"/>
        </w:numPr>
        <w:shd w:val="clear" w:color="auto" w:fill="FFFFFF"/>
        <w:spacing w:after="240" w:line="360" w:lineRule="auto"/>
        <w:jc w:val="both"/>
        <w:rPr>
          <w:rFonts w:cs="Tahoma"/>
          <w:b/>
          <w:bCs/>
          <w:color w:val="000000" w:themeColor="text1"/>
          <w:sz w:val="22"/>
        </w:rPr>
      </w:pPr>
      <w:r>
        <w:rPr>
          <w:rFonts w:cs="Tahoma"/>
          <w:b/>
          <w:bCs/>
          <w:color w:val="000000" w:themeColor="text1"/>
          <w:sz w:val="22"/>
          <w:lang w:val="en"/>
        </w:rPr>
        <w:t>The trader also had been engaged in a practice of rolling over loans, whereby consumers had incurred very high non-interest loan costs.</w:t>
      </w:r>
    </w:p>
    <w:bookmarkEnd w:id="0"/>
    <w:p w14:paraId="6DE95F11" w14:textId="61C22976" w:rsidR="00803E38" w:rsidRDefault="0010559C" w:rsidP="00F70F74">
      <w:pPr>
        <w:spacing w:after="240" w:line="360" w:lineRule="auto"/>
        <w:jc w:val="both"/>
        <w:rPr>
          <w:color w:val="000000" w:themeColor="text1"/>
          <w:sz w:val="22"/>
        </w:rPr>
      </w:pPr>
      <w:r>
        <w:rPr>
          <w:b/>
          <w:bCs/>
          <w:color w:val="000000" w:themeColor="text1"/>
          <w:sz w:val="22"/>
          <w:lang w:val="en"/>
        </w:rPr>
        <w:t xml:space="preserve">[Warsaw, </w:t>
      </w:r>
      <w:r w:rsidR="002514F1">
        <w:rPr>
          <w:b/>
          <w:bCs/>
          <w:color w:val="000000" w:themeColor="text1"/>
          <w:sz w:val="22"/>
          <w:lang w:val="en"/>
        </w:rPr>
        <w:t xml:space="preserve">22 </w:t>
      </w:r>
      <w:r>
        <w:rPr>
          <w:b/>
          <w:bCs/>
          <w:color w:val="000000" w:themeColor="text1"/>
          <w:sz w:val="22"/>
          <w:lang w:val="en"/>
        </w:rPr>
        <w:t>July 2024]</w:t>
      </w:r>
      <w:r>
        <w:rPr>
          <w:color w:val="000000" w:themeColor="text1"/>
          <w:sz w:val="22"/>
          <w:lang w:val="en"/>
        </w:rPr>
        <w:t xml:space="preserve"> LoanMe provided loans, usually for an amount of several thousand Polish zlotys. The signals received by the Office of the Competition and Consumer Protection (UOKiK) pointed to irregularities in settlements involving early repayment of liabilities. Consumers also complained about the company's mechanism for refinancing loans (known as rollover), resulting in high non-interest charges and very high outstanding debt.</w:t>
      </w:r>
      <w:r w:rsidR="00551100">
        <w:rPr>
          <w:color w:val="000000" w:themeColor="text1"/>
          <w:sz w:val="22"/>
          <w:lang w:val="en"/>
        </w:rPr>
        <w:t xml:space="preserve"> </w:t>
      </w:r>
      <w:r>
        <w:rPr>
          <w:color w:val="000000" w:themeColor="text1"/>
          <w:sz w:val="22"/>
          <w:lang w:val="en"/>
        </w:rPr>
        <w:t>The President of the Office rendered a decision to impose a fine of over PLN 550,000 on LoanMe.</w:t>
      </w:r>
    </w:p>
    <w:p w14:paraId="21ADB9F5" w14:textId="3BFCABA9" w:rsidR="00C16126" w:rsidRPr="00627B0F" w:rsidRDefault="00C16126" w:rsidP="00F70F74">
      <w:pPr>
        <w:spacing w:after="240" w:line="360" w:lineRule="auto"/>
        <w:jc w:val="both"/>
        <w:rPr>
          <w:b/>
          <w:color w:val="000000" w:themeColor="text1"/>
          <w:sz w:val="22"/>
        </w:rPr>
      </w:pPr>
      <w:r>
        <w:rPr>
          <w:b/>
          <w:bCs/>
          <w:color w:val="000000" w:themeColor="text1"/>
          <w:sz w:val="22"/>
          <w:lang w:val="en"/>
        </w:rPr>
        <w:t xml:space="preserve">Faster repayment = reimbursement </w:t>
      </w:r>
    </w:p>
    <w:p w14:paraId="4AE432BA" w14:textId="53AACEDF" w:rsidR="00C16126" w:rsidRDefault="006E5503" w:rsidP="006E5503">
      <w:pPr>
        <w:spacing w:after="240" w:line="360" w:lineRule="auto"/>
        <w:jc w:val="both"/>
        <w:rPr>
          <w:color w:val="000000" w:themeColor="text1"/>
          <w:sz w:val="22"/>
        </w:rPr>
      </w:pPr>
      <w:r>
        <w:rPr>
          <w:color w:val="000000" w:themeColor="text1"/>
          <w:sz w:val="22"/>
          <w:lang w:val="en"/>
        </w:rPr>
        <w:t xml:space="preserve">If a consumer has repaid a loan early, financial institutions must reimburse them for a proportionate share of the fees and commissions charged. This follows from Article 49 of the Consumer Credit Act. This interpretation of the provision was </w:t>
      </w:r>
      <w:hyperlink r:id="rId9" w:history="1">
        <w:r>
          <w:rPr>
            <w:rStyle w:val="Hipercze"/>
            <w:rFonts w:cs="Tahoma"/>
            <w:sz w:val="22"/>
            <w:szCs w:val="18"/>
            <w:lang w:val="en"/>
          </w:rPr>
          <w:t>confirme</w:t>
        </w:r>
        <w:r>
          <w:rPr>
            <w:rStyle w:val="Hipercze"/>
            <w:rFonts w:cs="Tahoma"/>
            <w:sz w:val="22"/>
            <w:szCs w:val="18"/>
            <w:lang w:val="en"/>
          </w:rPr>
          <w:t>d</w:t>
        </w:r>
        <w:r>
          <w:rPr>
            <w:rStyle w:val="Hipercze"/>
            <w:rFonts w:cs="Tahoma"/>
            <w:sz w:val="22"/>
            <w:szCs w:val="18"/>
            <w:lang w:val="en"/>
          </w:rPr>
          <w:t xml:space="preserve"> in September 2019 by the Court of Justice of the EU</w:t>
        </w:r>
      </w:hyperlink>
      <w:r>
        <w:rPr>
          <w:rStyle w:val="Hipercze"/>
          <w:rFonts w:cs="Tahoma"/>
          <w:sz w:val="22"/>
          <w:szCs w:val="18"/>
          <w:u w:val="none"/>
          <w:lang w:val="en"/>
        </w:rPr>
        <w:t>.</w:t>
      </w:r>
      <w:r>
        <w:rPr>
          <w:color w:val="000000" w:themeColor="text1"/>
          <w:sz w:val="22"/>
          <w:lang w:val="en"/>
        </w:rPr>
        <w:t xml:space="preserve"> LoanMe refused to reimburse consumers who had repaid their loan before the agreed date if this had taken place in the run-up to the CJEU judgment. Furthermore, the trader - by refusing to settle borrowers for early loan repayment - misled consumers by communicating that, prior to September 2019, the regulations had not required the trader to reimburse the cost of loans. This might have influenced consumers' decisions not to pursue their due claims.  </w:t>
      </w:r>
    </w:p>
    <w:p w14:paraId="47B79541" w14:textId="76A34113" w:rsidR="00A54242" w:rsidRDefault="00C16126" w:rsidP="00A54242">
      <w:pPr>
        <w:shd w:val="clear" w:color="auto" w:fill="FFFFFF"/>
        <w:spacing w:line="360" w:lineRule="auto"/>
        <w:jc w:val="both"/>
        <w:rPr>
          <w:sz w:val="22"/>
        </w:rPr>
      </w:pPr>
      <w:r>
        <w:rPr>
          <w:i/>
          <w:iCs/>
          <w:color w:val="000000" w:themeColor="text1"/>
          <w:sz w:val="22"/>
          <w:lang w:val="en"/>
        </w:rPr>
        <w:t xml:space="preserve">“Following the CJEU judgment, there is no question whatsoever as to how to interpret the provisions governing agreements concluded after the entry into force of the Consumer </w:t>
      </w:r>
      <w:r>
        <w:rPr>
          <w:i/>
          <w:iCs/>
          <w:color w:val="000000" w:themeColor="text1"/>
          <w:sz w:val="22"/>
          <w:lang w:val="en"/>
        </w:rPr>
        <w:lastRenderedPageBreak/>
        <w:t>Credit Act, that is, from 18 December 2011”</w:t>
      </w:r>
      <w:r>
        <w:rPr>
          <w:color w:val="000000" w:themeColor="text1"/>
          <w:sz w:val="22"/>
          <w:lang w:val="en"/>
        </w:rPr>
        <w:t xml:space="preserve">, </w:t>
      </w:r>
      <w:r>
        <w:rPr>
          <w:sz w:val="22"/>
          <w:lang w:val="en"/>
        </w:rPr>
        <w:t>says Tomasz Chróstny, President of the Office of Competition and Consumer Protection (UOKiK).</w:t>
      </w:r>
    </w:p>
    <w:p w14:paraId="4A07EC54" w14:textId="041C2261" w:rsidR="00627B0F" w:rsidRPr="00627B0F" w:rsidRDefault="00627B0F" w:rsidP="0018114A">
      <w:pPr>
        <w:shd w:val="clear" w:color="auto" w:fill="FFFFFF"/>
        <w:spacing w:line="360" w:lineRule="auto"/>
        <w:jc w:val="both"/>
        <w:rPr>
          <w:b/>
          <w:color w:val="000000" w:themeColor="text1"/>
          <w:sz w:val="22"/>
        </w:rPr>
      </w:pPr>
      <w:r>
        <w:rPr>
          <w:b/>
          <w:bCs/>
          <w:color w:val="000000" w:themeColor="text1"/>
          <w:sz w:val="22"/>
          <w:lang w:val="en"/>
        </w:rPr>
        <w:t>Loan rollover</w:t>
      </w:r>
    </w:p>
    <w:p w14:paraId="418A4229" w14:textId="3F6758F6" w:rsidR="002A77E5" w:rsidRDefault="00BD3E8A" w:rsidP="00124893">
      <w:pPr>
        <w:spacing w:line="360" w:lineRule="auto"/>
        <w:jc w:val="both"/>
        <w:rPr>
          <w:color w:val="000000" w:themeColor="text1"/>
          <w:sz w:val="22"/>
        </w:rPr>
      </w:pPr>
      <w:r>
        <w:rPr>
          <w:color w:val="000000" w:themeColor="text1"/>
          <w:sz w:val="22"/>
          <w:lang w:val="en"/>
        </w:rPr>
        <w:t xml:space="preserve">Moreover, LoanMe followed the practice of alternating the refinancing of loans with another company, without an explicit request from a </w:t>
      </w:r>
      <w:r w:rsidR="00000D98">
        <w:rPr>
          <w:color w:val="000000" w:themeColor="text1"/>
          <w:sz w:val="22"/>
          <w:lang w:val="en"/>
        </w:rPr>
        <w:t>consumer</w:t>
      </w:r>
      <w:r>
        <w:rPr>
          <w:color w:val="000000" w:themeColor="text1"/>
          <w:sz w:val="22"/>
          <w:lang w:val="en"/>
        </w:rPr>
        <w:t xml:space="preserve">. A customer who already had an active loan with LoanMe would receive another loan from an entity with which LoanMe had partnered. Thereafter, the loan to repay the new debt was again granted by LoanMe. Non-interest costs were charged individually for each refinanced loan. As a consequence, consumers incurred very high (above the regulatory limit) non-interest loan costs and got into a so-called debt spiral.  </w:t>
      </w:r>
    </w:p>
    <w:p w14:paraId="0C832DB4" w14:textId="099902B2" w:rsidR="00BA02BB" w:rsidRDefault="00BA02BB" w:rsidP="00BA02BB">
      <w:pPr>
        <w:spacing w:line="360" w:lineRule="auto"/>
        <w:jc w:val="both"/>
        <w:rPr>
          <w:bCs/>
          <w:color w:val="000000" w:themeColor="text1"/>
          <w:sz w:val="22"/>
        </w:rPr>
      </w:pPr>
    </w:p>
    <w:p w14:paraId="41794F86" w14:textId="3F17306D" w:rsidR="002A77E5" w:rsidRPr="00FE5267" w:rsidRDefault="00BA02BB" w:rsidP="002A77E5">
      <w:pPr>
        <w:spacing w:line="360" w:lineRule="auto"/>
        <w:jc w:val="both"/>
        <w:rPr>
          <w:color w:val="000000" w:themeColor="text1"/>
          <w:sz w:val="22"/>
        </w:rPr>
      </w:pPr>
      <w:r>
        <w:rPr>
          <w:i/>
          <w:iCs/>
          <w:color w:val="000000" w:themeColor="text1"/>
          <w:sz w:val="22"/>
          <w:lang w:val="en"/>
        </w:rPr>
        <w:t>“If loans were refinanced in accordance with the regulations, a consumer who failed to repay the loan within 120 days and took out another loan from the same entity would be protected.</w:t>
      </w:r>
      <w:r>
        <w:rPr>
          <w:color w:val="000000" w:themeColor="text1"/>
          <w:sz w:val="22"/>
          <w:lang w:val="en"/>
        </w:rPr>
        <w:t xml:space="preserve"> </w:t>
      </w:r>
      <w:r>
        <w:rPr>
          <w:i/>
          <w:iCs/>
          <w:color w:val="000000" w:themeColor="text1"/>
          <w:sz w:val="22"/>
          <w:lang w:val="en"/>
        </w:rPr>
        <w:t>This is because all fees charged at the time have to be within the limit of non-interest costs charged on the amount of the first loan”</w:t>
      </w:r>
      <w:r>
        <w:rPr>
          <w:color w:val="000000" w:themeColor="text1"/>
          <w:sz w:val="22"/>
          <w:lang w:val="en"/>
        </w:rPr>
        <w:t>,</w:t>
      </w:r>
      <w:r>
        <w:rPr>
          <w:sz w:val="22"/>
          <w:lang w:val="en"/>
        </w:rPr>
        <w:t xml:space="preserve"> says Tomasz Chróstny, President of the Office of Competition and Consumer Protection (UOKiK).</w:t>
      </w:r>
    </w:p>
    <w:p w14:paraId="645C9BB7" w14:textId="77777777" w:rsidR="0025544F" w:rsidRDefault="0025544F" w:rsidP="00124893">
      <w:pPr>
        <w:spacing w:line="360" w:lineRule="auto"/>
        <w:jc w:val="both"/>
        <w:rPr>
          <w:bCs/>
          <w:color w:val="000000" w:themeColor="text1"/>
          <w:sz w:val="22"/>
        </w:rPr>
      </w:pPr>
    </w:p>
    <w:p w14:paraId="7A5DDE35" w14:textId="30748635" w:rsidR="0018037B" w:rsidRDefault="00BD3E8A" w:rsidP="006E5503">
      <w:pPr>
        <w:spacing w:after="240" w:line="360" w:lineRule="auto"/>
        <w:jc w:val="both"/>
        <w:rPr>
          <w:color w:val="000000" w:themeColor="text1"/>
          <w:sz w:val="22"/>
        </w:rPr>
      </w:pPr>
      <w:r>
        <w:rPr>
          <w:color w:val="000000" w:themeColor="text1"/>
          <w:sz w:val="22"/>
          <w:lang w:val="en"/>
        </w:rPr>
        <w:t xml:space="preserve">The President of the Office has imposed a fine of over PLN 550,000 (PLN 557,047) on LoanMe. The details of the challenged practices are available in the decision. The decision is not final and can be appealed against. LoanMe is currently on </w:t>
      </w:r>
      <w:hyperlink r:id="rId10" w:history="1">
        <w:r>
          <w:rPr>
            <w:rStyle w:val="Hipercze"/>
            <w:sz w:val="22"/>
            <w:lang w:val="en"/>
          </w:rPr>
          <w:t>the PFSA's list of public warnings</w:t>
        </w:r>
      </w:hyperlink>
      <w:r>
        <w:rPr>
          <w:color w:val="000000" w:themeColor="text1"/>
          <w:sz w:val="22"/>
          <w:lang w:val="en"/>
        </w:rPr>
        <w:t xml:space="preserve">. </w:t>
      </w:r>
    </w:p>
    <w:p w14:paraId="019B4DE7" w14:textId="77777777" w:rsidR="00A52770" w:rsidRPr="00A52770" w:rsidRDefault="00A52770" w:rsidP="00A52770">
      <w:pPr>
        <w:pStyle w:val="NormalnyWeb"/>
        <w:shd w:val="clear" w:color="auto" w:fill="FFFFFF"/>
        <w:spacing w:before="0" w:beforeAutospacing="0" w:line="279" w:lineRule="atLeast"/>
        <w:jc w:val="both"/>
        <w:rPr>
          <w:rFonts w:ascii="Trebuchet MS" w:hAnsi="Trebuchet MS"/>
          <w:b/>
          <w:color w:val="000000" w:themeColor="text1"/>
          <w:sz w:val="22"/>
          <w:szCs w:val="22"/>
        </w:rPr>
      </w:pPr>
      <w:r>
        <w:rPr>
          <w:rFonts w:ascii="Trebuchet MS" w:hAnsi="Trebuchet MS"/>
          <w:b/>
          <w:bCs/>
          <w:color w:val="000000" w:themeColor="text1"/>
          <w:sz w:val="22"/>
          <w:szCs w:val="22"/>
          <w:lang w:val="en"/>
        </w:rPr>
        <w:t>Have you repaid your loan early? Learn about your rights</w:t>
      </w:r>
    </w:p>
    <w:p w14:paraId="3E084DFE" w14:textId="4CC28BEE" w:rsidR="00A52770" w:rsidRPr="00A52770" w:rsidRDefault="00A52770" w:rsidP="00A52770">
      <w:pPr>
        <w:numPr>
          <w:ilvl w:val="0"/>
          <w:numId w:val="14"/>
        </w:numPr>
        <w:shd w:val="clear" w:color="auto" w:fill="FFFFFF"/>
        <w:spacing w:before="100" w:beforeAutospacing="1" w:after="150" w:line="360" w:lineRule="auto"/>
        <w:jc w:val="both"/>
        <w:rPr>
          <w:iCs/>
          <w:color w:val="000000" w:themeColor="text1"/>
          <w:sz w:val="22"/>
        </w:rPr>
      </w:pPr>
      <w:r>
        <w:rPr>
          <w:color w:val="000000" w:themeColor="text1"/>
          <w:sz w:val="22"/>
          <w:lang w:val="en"/>
        </w:rPr>
        <w:t>Anyone with a consumer loan can repay it early. The lender in such a case must proportionally reduce all the costs of the loan (e.g. fees, commissions, insurance costs) and reimburse them to a consumer. </w:t>
      </w:r>
    </w:p>
    <w:p w14:paraId="5FA4D028" w14:textId="446CAC17" w:rsidR="00A52770" w:rsidRPr="00A52770" w:rsidRDefault="00A52770" w:rsidP="00A52770">
      <w:pPr>
        <w:numPr>
          <w:ilvl w:val="0"/>
          <w:numId w:val="14"/>
        </w:numPr>
        <w:shd w:val="clear" w:color="auto" w:fill="FFFFFF"/>
        <w:spacing w:before="100" w:beforeAutospacing="1" w:after="150" w:line="360" w:lineRule="auto"/>
        <w:jc w:val="both"/>
        <w:rPr>
          <w:iCs/>
          <w:color w:val="000000" w:themeColor="text1"/>
          <w:sz w:val="22"/>
        </w:rPr>
      </w:pPr>
      <w:r>
        <w:rPr>
          <w:color w:val="000000" w:themeColor="text1"/>
          <w:sz w:val="22"/>
          <w:lang w:val="en"/>
        </w:rPr>
        <w:t>The reimbursable amount should be calculated using</w:t>
      </w:r>
      <w:r>
        <w:rPr>
          <w:b/>
          <w:bCs/>
          <w:color w:val="000000" w:themeColor="text1"/>
          <w:sz w:val="22"/>
          <w:lang w:val="en"/>
        </w:rPr>
        <w:t xml:space="preserve"> the straight-line method.</w:t>
      </w:r>
      <w:r>
        <w:rPr>
          <w:color w:val="000000" w:themeColor="text1"/>
          <w:sz w:val="22"/>
          <w:lang w:val="en"/>
        </w:rPr>
        <w:t> The method involves the financial institution dividing all non-interest costs by the number of calendar days the agreement was to be in force. The result is multiplied by the number of days by which the loan period was shortened. This amount should be returned to a consumer.</w:t>
      </w:r>
    </w:p>
    <w:p w14:paraId="50D26D64" w14:textId="77777777" w:rsidR="00A52770" w:rsidRPr="00A52770" w:rsidRDefault="00A52770" w:rsidP="00A52770">
      <w:pPr>
        <w:numPr>
          <w:ilvl w:val="0"/>
          <w:numId w:val="14"/>
        </w:numPr>
        <w:shd w:val="clear" w:color="auto" w:fill="FFFFFF"/>
        <w:spacing w:before="100" w:beforeAutospacing="1" w:after="150" w:line="360" w:lineRule="auto"/>
        <w:jc w:val="both"/>
        <w:rPr>
          <w:iCs/>
          <w:color w:val="000000" w:themeColor="text1"/>
          <w:sz w:val="22"/>
        </w:rPr>
      </w:pPr>
      <w:r>
        <w:rPr>
          <w:color w:val="000000" w:themeColor="text1"/>
          <w:sz w:val="22"/>
          <w:lang w:val="en"/>
        </w:rPr>
        <w:lastRenderedPageBreak/>
        <w:t xml:space="preserve">The Office of Competition and Consumer Protection (UOKiK) has produced a </w:t>
      </w:r>
      <w:hyperlink r:id="rId11" w:history="1">
        <w:r>
          <w:rPr>
            <w:rStyle w:val="Hipercze"/>
            <w:rFonts w:eastAsia="Calibri" w:cs="Tahoma"/>
            <w:sz w:val="22"/>
            <w:szCs w:val="18"/>
            <w:lang w:val="en"/>
          </w:rPr>
          <w:t>credit calculator</w:t>
        </w:r>
      </w:hyperlink>
      <w:r>
        <w:rPr>
          <w:color w:val="000000" w:themeColor="text1"/>
          <w:sz w:val="22"/>
          <w:lang w:val="en"/>
        </w:rPr>
        <w:t xml:space="preserve"> to help you calculate the estimated amount to be reimbursed based on the straight-line method.</w:t>
      </w:r>
    </w:p>
    <w:p w14:paraId="33BB6D85" w14:textId="5E7F09D1" w:rsidR="00A52770" w:rsidRPr="00A52770" w:rsidRDefault="00A52770" w:rsidP="00A52770">
      <w:pPr>
        <w:numPr>
          <w:ilvl w:val="0"/>
          <w:numId w:val="14"/>
        </w:numPr>
        <w:shd w:val="clear" w:color="auto" w:fill="FFFFFF"/>
        <w:spacing w:before="100" w:beforeAutospacing="1" w:after="150" w:line="360" w:lineRule="auto"/>
        <w:jc w:val="both"/>
        <w:rPr>
          <w:iCs/>
          <w:color w:val="000000" w:themeColor="text1"/>
          <w:sz w:val="22"/>
        </w:rPr>
      </w:pPr>
      <w:r>
        <w:rPr>
          <w:color w:val="000000" w:themeColor="text1"/>
          <w:sz w:val="22"/>
          <w:lang w:val="en"/>
        </w:rPr>
        <w:t xml:space="preserve">You may apply for a reimbursement of the unsettled part of the fees for a consumer credit or loan you have already repaid if you concluded the agreement after the entry into force of the Consumer Credit Act, that is, after 18 December 2011. </w:t>
      </w:r>
      <w:r>
        <w:rPr>
          <w:b/>
          <w:bCs/>
          <w:color w:val="000000" w:themeColor="text1"/>
          <w:sz w:val="22"/>
          <w:lang w:val="en"/>
        </w:rPr>
        <w:t xml:space="preserve">The limitation period </w:t>
      </w:r>
      <w:r>
        <w:rPr>
          <w:color w:val="000000" w:themeColor="text1"/>
          <w:sz w:val="22"/>
          <w:lang w:val="en"/>
        </w:rPr>
        <w:t>for lodging a claim is 10 years for repayments made before 9 July 2018, and 6 years for repayments made after that date.</w:t>
      </w:r>
    </w:p>
    <w:p w14:paraId="1F04A660" w14:textId="77777777" w:rsidR="00975826" w:rsidRDefault="00A52770" w:rsidP="00975826">
      <w:pPr>
        <w:numPr>
          <w:ilvl w:val="0"/>
          <w:numId w:val="14"/>
        </w:numPr>
        <w:shd w:val="clear" w:color="auto" w:fill="FFFFFF"/>
        <w:spacing w:before="100" w:beforeAutospacing="1" w:after="150" w:line="360" w:lineRule="auto"/>
        <w:jc w:val="both"/>
        <w:rPr>
          <w:iCs/>
          <w:color w:val="000000" w:themeColor="text1"/>
          <w:sz w:val="22"/>
        </w:rPr>
      </w:pPr>
      <w:r>
        <w:rPr>
          <w:color w:val="000000" w:themeColor="text1"/>
          <w:sz w:val="22"/>
          <w:lang w:val="en"/>
        </w:rPr>
        <w:t xml:space="preserve">If you want to claim back the money owed to you, file a complaint. You can use a ready-made </w:t>
      </w:r>
      <w:hyperlink r:id="rId12" w:history="1">
        <w:r>
          <w:rPr>
            <w:rStyle w:val="Hipercze"/>
            <w:rFonts w:eastAsia="Calibri" w:cs="Tahoma"/>
            <w:sz w:val="22"/>
            <w:szCs w:val="18"/>
            <w:lang w:val="en"/>
          </w:rPr>
          <w:t>form</w:t>
        </w:r>
      </w:hyperlink>
      <w:r>
        <w:rPr>
          <w:color w:val="000000" w:themeColor="text1"/>
          <w:sz w:val="22"/>
          <w:lang w:val="en"/>
        </w:rPr>
        <w:t xml:space="preserve"> and send it to the financial institution that granted you the loan or consumer credit.</w:t>
      </w:r>
    </w:p>
    <w:p w14:paraId="2C459CA3" w14:textId="334E349C" w:rsidR="002A77E5" w:rsidRDefault="000949BB" w:rsidP="00975826">
      <w:pPr>
        <w:numPr>
          <w:ilvl w:val="0"/>
          <w:numId w:val="14"/>
        </w:numPr>
        <w:shd w:val="clear" w:color="auto" w:fill="FFFFFF"/>
        <w:spacing w:before="100" w:beforeAutospacing="1" w:after="150" w:line="360" w:lineRule="auto"/>
        <w:jc w:val="both"/>
        <w:rPr>
          <w:color w:val="000000" w:themeColor="text1"/>
          <w:sz w:val="22"/>
        </w:rPr>
      </w:pPr>
      <w:r>
        <w:rPr>
          <w:color w:val="000000" w:themeColor="text1"/>
          <w:sz w:val="22"/>
          <w:lang w:val="en"/>
        </w:rPr>
        <w:t>For agreements concluded before 18 December 2022, there are limits on non-interest loan costs arising from the Consumer Credit Act and depend on the length of the loan term. Their maximum amount is 25% of the amount borrowed plus 30 % for each year of the loan, but not more than 100 % of the loan.</w:t>
      </w:r>
    </w:p>
    <w:p w14:paraId="2FDBE2AB" w14:textId="6404F0E9" w:rsidR="000949BB" w:rsidRDefault="000949BB" w:rsidP="00975826">
      <w:pPr>
        <w:numPr>
          <w:ilvl w:val="0"/>
          <w:numId w:val="14"/>
        </w:numPr>
        <w:shd w:val="clear" w:color="auto" w:fill="FFFFFF"/>
        <w:spacing w:before="100" w:beforeAutospacing="1" w:after="150" w:line="360" w:lineRule="auto"/>
        <w:jc w:val="both"/>
        <w:rPr>
          <w:color w:val="000000" w:themeColor="text1"/>
          <w:sz w:val="22"/>
        </w:rPr>
      </w:pPr>
      <w:r>
        <w:rPr>
          <w:color w:val="000000" w:themeColor="text1"/>
          <w:sz w:val="22"/>
          <w:lang w:val="en"/>
        </w:rPr>
        <w:t>Currently, after the amendment of the Anti-Usury Act, non-interest loan costs cannot be higher than 45% of the total loan amount.</w:t>
      </w:r>
    </w:p>
    <w:p w14:paraId="51403911" w14:textId="6639ECF4" w:rsidR="000949BB" w:rsidRPr="000949BB" w:rsidRDefault="000949BB" w:rsidP="000949BB">
      <w:pPr>
        <w:numPr>
          <w:ilvl w:val="0"/>
          <w:numId w:val="14"/>
        </w:numPr>
        <w:shd w:val="clear" w:color="auto" w:fill="FFFFFF"/>
        <w:spacing w:before="100" w:beforeAutospacing="1" w:after="150" w:line="360" w:lineRule="auto"/>
        <w:jc w:val="both"/>
        <w:rPr>
          <w:iCs/>
          <w:color w:val="000000" w:themeColor="text1"/>
          <w:sz w:val="22"/>
        </w:rPr>
      </w:pPr>
      <w:r>
        <w:rPr>
          <w:color w:val="000000" w:themeColor="text1"/>
          <w:sz w:val="22"/>
          <w:lang w:val="en"/>
        </w:rPr>
        <w:t>You should always check</w:t>
      </w:r>
      <w:r>
        <w:rPr>
          <w:rFonts w:ascii="Helvetica" w:hAnsi="Helvetica"/>
          <w:color w:val="3F3F3F"/>
          <w:sz w:val="27"/>
          <w:szCs w:val="27"/>
          <w:lang w:val="en"/>
        </w:rPr>
        <w:t xml:space="preserve"> </w:t>
      </w:r>
      <w:r>
        <w:rPr>
          <w:color w:val="000000" w:themeColor="text1"/>
          <w:sz w:val="22"/>
          <w:lang w:val="en"/>
        </w:rPr>
        <w:t xml:space="preserve">if the loan company or the credit broker is listed in a register maintained by the </w:t>
      </w:r>
      <w:hyperlink r:id="rId13" w:history="1">
        <w:r>
          <w:rPr>
            <w:rStyle w:val="Hipercze"/>
            <w:rFonts w:eastAsia="Calibri" w:cs="Tahoma"/>
            <w:sz w:val="22"/>
            <w:szCs w:val="18"/>
            <w:lang w:val="en"/>
          </w:rPr>
          <w:t>Polish Fina</w:t>
        </w:r>
        <w:bookmarkStart w:id="1" w:name="_GoBack"/>
        <w:bookmarkEnd w:id="1"/>
        <w:r>
          <w:rPr>
            <w:rStyle w:val="Hipercze"/>
            <w:rFonts w:eastAsia="Calibri" w:cs="Tahoma"/>
            <w:sz w:val="22"/>
            <w:szCs w:val="18"/>
            <w:lang w:val="en"/>
          </w:rPr>
          <w:t>ncial Supervision Authority (KNF)</w:t>
        </w:r>
      </w:hyperlink>
      <w:r>
        <w:rPr>
          <w:color w:val="000000" w:themeColor="text1"/>
          <w:sz w:val="22"/>
          <w:lang w:val="en"/>
        </w:rPr>
        <w:t>.</w:t>
      </w:r>
    </w:p>
    <w:p w14:paraId="41BA4509" w14:textId="77777777" w:rsidR="00975826" w:rsidRPr="00975826" w:rsidRDefault="00975826" w:rsidP="00BB3956">
      <w:pPr>
        <w:shd w:val="clear" w:color="auto" w:fill="FFFFFF"/>
        <w:spacing w:line="360" w:lineRule="auto"/>
        <w:jc w:val="both"/>
        <w:rPr>
          <w:rStyle w:val="Pogrubienie"/>
          <w:bCs w:val="0"/>
          <w:color w:val="000000" w:themeColor="text1"/>
          <w:sz w:val="22"/>
        </w:rPr>
      </w:pPr>
    </w:p>
    <w:p w14:paraId="62F97509" w14:textId="170BBAA1" w:rsidR="00975826" w:rsidRPr="00975826" w:rsidRDefault="00AE03B5" w:rsidP="00AE03B5">
      <w:pPr>
        <w:spacing w:after="240" w:line="360" w:lineRule="auto"/>
        <w:jc w:val="both"/>
        <w:rPr>
          <w:rFonts w:eastAsia="Calibri" w:cs="Tahoma"/>
          <w:b/>
          <w:bCs/>
        </w:rPr>
      </w:pPr>
      <w:r>
        <w:rPr>
          <w:rStyle w:val="Pogrubienie"/>
          <w:rFonts w:eastAsia="Calibri" w:cs="Tahoma"/>
          <w:lang w:val="en"/>
        </w:rPr>
        <w:t>Consumer Support:</w:t>
      </w:r>
    </w:p>
    <w:p w14:paraId="200B6621" w14:textId="6F89CD70" w:rsidR="00AE03B5" w:rsidRDefault="00AE03B5" w:rsidP="00AE03B5">
      <w:pPr>
        <w:rPr>
          <w:rFonts w:cs="Tahoma"/>
          <w:szCs w:val="18"/>
        </w:rPr>
      </w:pPr>
      <w:r>
        <w:rPr>
          <w:rFonts w:cs="Tahoma"/>
          <w:szCs w:val="18"/>
          <w:lang w:val="en"/>
        </w:rPr>
        <w:t xml:space="preserve">Consumer helpline: </w:t>
      </w:r>
      <w:bookmarkStart w:id="2" w:name="_Hlk120527957"/>
      <w:r>
        <w:rPr>
          <w:rFonts w:cs="Tahoma"/>
          <w:szCs w:val="18"/>
          <w:lang w:val="en"/>
        </w:rPr>
        <w:t xml:space="preserve">801 440 220 or 222 66 76 76 </w:t>
      </w:r>
      <w:bookmarkEnd w:id="2"/>
      <w:r>
        <w:rPr>
          <w:rFonts w:cs="Tahoma"/>
          <w:color w:val="3C4147"/>
          <w:szCs w:val="18"/>
          <w:lang w:val="en"/>
        </w:rPr>
        <w:br/>
      </w:r>
      <w:r>
        <w:rPr>
          <w:rFonts w:cs="Tahoma"/>
          <w:lang w:val="en"/>
        </w:rPr>
        <w:t xml:space="preserve">contact form: </w:t>
      </w:r>
      <w:hyperlink r:id="rId14" w:tgtFrame="_blank" w:history="1">
        <w:r>
          <w:rPr>
            <w:rFonts w:cs="Tahoma"/>
            <w:color w:val="133C8A"/>
            <w:szCs w:val="18"/>
            <w:u w:val="single"/>
            <w:lang w:val="en"/>
          </w:rPr>
          <w:t>poradydlakonsumentow.pl</w:t>
        </w:r>
      </w:hyperlink>
      <w:r>
        <w:rPr>
          <w:rFonts w:cs="Tahoma"/>
          <w:color w:val="3C4147"/>
          <w:szCs w:val="18"/>
          <w:lang w:val="en"/>
        </w:rPr>
        <w:br/>
      </w:r>
      <w:hyperlink r:id="rId15" w:history="1">
        <w:r>
          <w:rPr>
            <w:rFonts w:cs="Tahoma"/>
            <w:color w:val="133C8A"/>
            <w:szCs w:val="18"/>
            <w:u w:val="single"/>
            <w:lang w:val="en"/>
          </w:rPr>
          <w:t>Consumer Ombudsmen</w:t>
        </w:r>
      </w:hyperlink>
      <w:r>
        <w:rPr>
          <w:rFonts w:cs="Tahoma"/>
          <w:color w:val="3C4147"/>
          <w:szCs w:val="18"/>
          <w:lang w:val="en"/>
        </w:rPr>
        <w:t xml:space="preserve"> – </w:t>
      </w:r>
      <w:r>
        <w:rPr>
          <w:rFonts w:cs="Tahoma"/>
          <w:szCs w:val="18"/>
          <w:lang w:val="en"/>
        </w:rPr>
        <w:t>in your town or district</w:t>
      </w:r>
    </w:p>
    <w:p w14:paraId="7170C549" w14:textId="4B1CD6E9" w:rsidR="00BC373E" w:rsidRPr="00450ABF" w:rsidRDefault="00E8170B" w:rsidP="00450ABF">
      <w:pPr>
        <w:shd w:val="clear" w:color="auto" w:fill="FFFFFF"/>
        <w:spacing w:line="360" w:lineRule="auto"/>
        <w:rPr>
          <w:bCs/>
          <w:szCs w:val="18"/>
        </w:rPr>
      </w:pPr>
      <w:hyperlink r:id="rId16" w:history="1">
        <w:r w:rsidR="007D5408">
          <w:rPr>
            <w:rFonts w:ascii="Tahoma" w:hAnsi="Tahoma" w:cs="Tahoma"/>
            <w:color w:val="133C8A"/>
            <w:szCs w:val="18"/>
            <w:u w:val="single"/>
            <w:lang w:val="en"/>
          </w:rPr>
          <w:t>Financial Ombudsman</w:t>
        </w:r>
      </w:hyperlink>
      <w:r w:rsidR="007D5408">
        <w:rPr>
          <w:rFonts w:ascii="Tahoma" w:hAnsi="Tahoma" w:cs="Tahoma"/>
          <w:sz w:val="24"/>
          <w:szCs w:val="18"/>
          <w:shd w:val="clear" w:color="auto" w:fill="FFFFFF"/>
          <w:lang w:val="en"/>
        </w:rPr>
        <w:t xml:space="preserve"> </w:t>
      </w:r>
      <w:r w:rsidR="007D5408">
        <w:rPr>
          <w:rFonts w:ascii="Tahoma" w:hAnsi="Tahoma" w:cs="Tahoma"/>
          <w:szCs w:val="18"/>
          <w:lang w:val="en"/>
        </w:rPr>
        <w:t>-</w:t>
      </w:r>
      <w:r w:rsidR="007D5408">
        <w:rPr>
          <w:rFonts w:ascii="Times New Roman" w:hAnsi="Times New Roman" w:cs="Tahoma"/>
          <w:sz w:val="24"/>
          <w:szCs w:val="24"/>
          <w:lang w:val="en"/>
        </w:rPr>
        <w:t xml:space="preserve"> </w:t>
      </w:r>
      <w:r w:rsidR="007D5408">
        <w:rPr>
          <w:rFonts w:ascii="Tahoma" w:hAnsi="Tahoma" w:cs="Tahoma"/>
          <w:szCs w:val="18"/>
          <w:lang w:val="en"/>
        </w:rPr>
        <w:t>after rejection of the complaint by the financial institution</w:t>
      </w:r>
    </w:p>
    <w:sectPr w:rsidR="00BC373E" w:rsidRPr="00450ABF" w:rsidSect="00240013">
      <w:headerReference w:type="default" r:id="rId17"/>
      <w:footerReference w:type="default" r:id="rId18"/>
      <w:pgSz w:w="11906" w:h="16838"/>
      <w:pgMar w:top="2127" w:right="1417" w:bottom="212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E7EBA" w14:textId="77777777" w:rsidR="007D5408" w:rsidRDefault="007D5408">
      <w:r>
        <w:separator/>
      </w:r>
    </w:p>
  </w:endnote>
  <w:endnote w:type="continuationSeparator" w:id="0">
    <w:p w14:paraId="784A97D0" w14:textId="77777777" w:rsidR="007D5408" w:rsidRDefault="007D5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5E346" w14:textId="3AF30D62" w:rsidR="00000D98"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62035471" wp14:editId="34CB61A5">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C46E92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TELEPHONE + 48 22 55 60 246    MOBILE PHONE 603 124 154</w:t>
    </w:r>
  </w:p>
  <w:p w14:paraId="24ACC102" w14:textId="77777777" w:rsidR="00000D98"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Twitter: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can also 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620C9F" w14:textId="77777777" w:rsidR="007D5408" w:rsidRDefault="007D5408">
      <w:r>
        <w:separator/>
      </w:r>
    </w:p>
  </w:footnote>
  <w:footnote w:type="continuationSeparator" w:id="0">
    <w:p w14:paraId="17F49011" w14:textId="77777777" w:rsidR="007D5408" w:rsidRDefault="007D5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1D42E" w14:textId="77777777" w:rsidR="00000D98" w:rsidRDefault="00C81210" w:rsidP="0041396E">
    <w:pPr>
      <w:pStyle w:val="Nagwek"/>
      <w:tabs>
        <w:tab w:val="clear" w:pos="9072"/>
      </w:tabs>
    </w:pPr>
    <w:r>
      <w:rPr>
        <w:noProof/>
        <w:lang w:val="en"/>
      </w:rPr>
      <w:drawing>
        <wp:inline distT="0" distB="0" distL="0" distR="0" wp14:anchorId="05CEB710" wp14:editId="66518FB7">
          <wp:extent cx="1400175" cy="542764"/>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8F1625"/>
    <w:multiLevelType w:val="multilevel"/>
    <w:tmpl w:val="7D3C0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BE15B7"/>
    <w:multiLevelType w:val="multilevel"/>
    <w:tmpl w:val="82521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0A3C72"/>
    <w:multiLevelType w:val="hybridMultilevel"/>
    <w:tmpl w:val="9A8A426C"/>
    <w:lvl w:ilvl="0" w:tplc="E7949F20">
      <w:start w:val="1"/>
      <w:numFmt w:val="decimal"/>
      <w:lvlText w:val="%1."/>
      <w:lvlJc w:val="left"/>
      <w:pPr>
        <w:ind w:left="643" w:hanging="360"/>
      </w:pPr>
      <w:rPr>
        <w:rFonts w:hint="default"/>
        <w:b/>
        <w:i w:val="0"/>
        <w:strike w:val="0"/>
        <w:color w:val="auto"/>
        <w:sz w:val="22"/>
        <w:szCs w:val="22"/>
      </w:rPr>
    </w:lvl>
    <w:lvl w:ilvl="1" w:tplc="5FC459EA">
      <w:start w:val="1"/>
      <w:numFmt w:val="lowerLetter"/>
      <w:lvlText w:val="%2)"/>
      <w:lvlJc w:val="left"/>
      <w:pPr>
        <w:ind w:left="1352" w:hanging="360"/>
      </w:pPr>
      <w:rPr>
        <w:rFonts w:hint="default"/>
        <w:b/>
        <w:color w:val="auto"/>
      </w:rPr>
    </w:lvl>
    <w:lvl w:ilvl="2" w:tplc="50124D70">
      <w:start w:val="1"/>
      <w:numFmt w:val="lowerRoman"/>
      <w:lvlText w:val="%3."/>
      <w:lvlJc w:val="right"/>
      <w:pPr>
        <w:ind w:left="2160" w:hanging="180"/>
      </w:pPr>
      <w:rPr>
        <w:color w:val="auto"/>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3A409D"/>
    <w:multiLevelType w:val="hybridMultilevel"/>
    <w:tmpl w:val="33A6B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007F9A"/>
    <w:multiLevelType w:val="multilevel"/>
    <w:tmpl w:val="13F29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E1281C"/>
    <w:multiLevelType w:val="hybridMultilevel"/>
    <w:tmpl w:val="FD4A9B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E3F259C"/>
    <w:multiLevelType w:val="hybridMultilevel"/>
    <w:tmpl w:val="24AE81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41C60ABB"/>
    <w:multiLevelType w:val="hybridMultilevel"/>
    <w:tmpl w:val="9A8A426C"/>
    <w:lvl w:ilvl="0" w:tplc="E7949F20">
      <w:start w:val="1"/>
      <w:numFmt w:val="decimal"/>
      <w:lvlText w:val="%1."/>
      <w:lvlJc w:val="left"/>
      <w:pPr>
        <w:ind w:left="643" w:hanging="360"/>
      </w:pPr>
      <w:rPr>
        <w:rFonts w:hint="default"/>
        <w:b/>
        <w:i w:val="0"/>
        <w:strike w:val="0"/>
        <w:color w:val="auto"/>
        <w:sz w:val="22"/>
        <w:szCs w:val="22"/>
      </w:rPr>
    </w:lvl>
    <w:lvl w:ilvl="1" w:tplc="5FC459EA">
      <w:start w:val="1"/>
      <w:numFmt w:val="lowerLetter"/>
      <w:lvlText w:val="%2)"/>
      <w:lvlJc w:val="left"/>
      <w:pPr>
        <w:ind w:left="1352" w:hanging="360"/>
      </w:pPr>
      <w:rPr>
        <w:rFonts w:hint="default"/>
        <w:b/>
        <w:color w:val="auto"/>
      </w:rPr>
    </w:lvl>
    <w:lvl w:ilvl="2" w:tplc="50124D70">
      <w:start w:val="1"/>
      <w:numFmt w:val="lowerRoman"/>
      <w:lvlText w:val="%3."/>
      <w:lvlJc w:val="right"/>
      <w:pPr>
        <w:ind w:left="2160" w:hanging="180"/>
      </w:pPr>
      <w:rPr>
        <w:color w:val="auto"/>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BB1975"/>
    <w:multiLevelType w:val="hybridMultilevel"/>
    <w:tmpl w:val="BBA644AC"/>
    <w:lvl w:ilvl="0" w:tplc="DF1CBE36">
      <w:start w:val="1"/>
      <w:numFmt w:val="decimal"/>
      <w:pStyle w:val="TekstNB"/>
      <w:lvlText w:val="(%1)"/>
      <w:lvlJc w:val="left"/>
      <w:pPr>
        <w:ind w:left="720" w:hanging="360"/>
      </w:pPr>
      <w:rPr>
        <w:rFonts w:ascii="Times New Roman" w:hAnsi="Times New Roman"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12D1B79"/>
    <w:multiLevelType w:val="hybridMultilevel"/>
    <w:tmpl w:val="1428CB26"/>
    <w:lvl w:ilvl="0" w:tplc="179C175C">
      <w:start w:val="1"/>
      <w:numFmt w:val="decimal"/>
      <w:lvlText w:val="(%1)"/>
      <w:lvlJc w:val="left"/>
      <w:pPr>
        <w:ind w:left="928" w:hanging="360"/>
      </w:pPr>
      <w:rPr>
        <w:rFonts w:ascii="Trebuchet MS" w:hAnsi="Trebuchet MS" w:cs="Times New Roman" w:hint="default"/>
        <w:b w:val="0"/>
        <w:i w:val="0"/>
        <w:color w:val="auto"/>
        <w:sz w:val="22"/>
        <w:szCs w:val="22"/>
      </w:rPr>
    </w:lvl>
    <w:lvl w:ilvl="1" w:tplc="04150017">
      <w:start w:val="1"/>
      <w:numFmt w:val="lowerLetter"/>
      <w:lvlText w:val="%2)"/>
      <w:lvlJc w:val="left"/>
      <w:pPr>
        <w:ind w:left="1785" w:hanging="705"/>
      </w:pPr>
      <w:rPr>
        <w:rFonts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0"/>
  </w:num>
  <w:num w:numId="4">
    <w:abstractNumId w:val="15"/>
  </w:num>
  <w:num w:numId="5">
    <w:abstractNumId w:val="5"/>
  </w:num>
  <w:num w:numId="6">
    <w:abstractNumId w:val="12"/>
  </w:num>
  <w:num w:numId="7">
    <w:abstractNumId w:val="7"/>
  </w:num>
  <w:num w:numId="8">
    <w:abstractNumId w:val="13"/>
  </w:num>
  <w:num w:numId="9">
    <w:abstractNumId w:val="14"/>
  </w:num>
  <w:num w:numId="10">
    <w:abstractNumId w:val="8"/>
  </w:num>
  <w:num w:numId="11">
    <w:abstractNumId w:val="4"/>
  </w:num>
  <w:num w:numId="12">
    <w:abstractNumId w:val="3"/>
  </w:num>
  <w:num w:numId="13">
    <w:abstractNumId w:val="10"/>
  </w:num>
  <w:num w:numId="14">
    <w:abstractNumId w:val="2"/>
  </w:num>
  <w:num w:numId="15">
    <w:abstractNumId w:val="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0D98"/>
    <w:rsid w:val="00002C19"/>
    <w:rsid w:val="00004BCA"/>
    <w:rsid w:val="00006800"/>
    <w:rsid w:val="0000713A"/>
    <w:rsid w:val="00007E00"/>
    <w:rsid w:val="00011AF2"/>
    <w:rsid w:val="00013762"/>
    <w:rsid w:val="00014ADC"/>
    <w:rsid w:val="00022817"/>
    <w:rsid w:val="00022E00"/>
    <w:rsid w:val="00023634"/>
    <w:rsid w:val="0002523D"/>
    <w:rsid w:val="000301CE"/>
    <w:rsid w:val="000334C2"/>
    <w:rsid w:val="00035F7B"/>
    <w:rsid w:val="00042F96"/>
    <w:rsid w:val="00044465"/>
    <w:rsid w:val="000510A2"/>
    <w:rsid w:val="0005678E"/>
    <w:rsid w:val="000603ED"/>
    <w:rsid w:val="00063AB0"/>
    <w:rsid w:val="000651E9"/>
    <w:rsid w:val="00070BDB"/>
    <w:rsid w:val="00071B7B"/>
    <w:rsid w:val="00073AA7"/>
    <w:rsid w:val="00075B17"/>
    <w:rsid w:val="0007671D"/>
    <w:rsid w:val="00076D3E"/>
    <w:rsid w:val="00076DF6"/>
    <w:rsid w:val="000774E6"/>
    <w:rsid w:val="00080C3A"/>
    <w:rsid w:val="000838C2"/>
    <w:rsid w:val="000913F7"/>
    <w:rsid w:val="00093769"/>
    <w:rsid w:val="000949BB"/>
    <w:rsid w:val="00095D79"/>
    <w:rsid w:val="000A1E7D"/>
    <w:rsid w:val="000A65D2"/>
    <w:rsid w:val="000A74FA"/>
    <w:rsid w:val="000B0ABF"/>
    <w:rsid w:val="000B149D"/>
    <w:rsid w:val="000B1AC5"/>
    <w:rsid w:val="000B3132"/>
    <w:rsid w:val="000B476E"/>
    <w:rsid w:val="000B5FBB"/>
    <w:rsid w:val="000B5FF0"/>
    <w:rsid w:val="000B7247"/>
    <w:rsid w:val="000C7CFB"/>
    <w:rsid w:val="000D04AF"/>
    <w:rsid w:val="000E0FA7"/>
    <w:rsid w:val="000E1860"/>
    <w:rsid w:val="000F112B"/>
    <w:rsid w:val="000F4234"/>
    <w:rsid w:val="000F47DB"/>
    <w:rsid w:val="000F5447"/>
    <w:rsid w:val="00102596"/>
    <w:rsid w:val="00103198"/>
    <w:rsid w:val="0010559C"/>
    <w:rsid w:val="00106D3E"/>
    <w:rsid w:val="0010704D"/>
    <w:rsid w:val="00107844"/>
    <w:rsid w:val="001111CA"/>
    <w:rsid w:val="0011400B"/>
    <w:rsid w:val="00116102"/>
    <w:rsid w:val="00120FBD"/>
    <w:rsid w:val="0012424D"/>
    <w:rsid w:val="00124893"/>
    <w:rsid w:val="001269BB"/>
    <w:rsid w:val="00126A44"/>
    <w:rsid w:val="0013159A"/>
    <w:rsid w:val="00135455"/>
    <w:rsid w:val="0013632E"/>
    <w:rsid w:val="00143029"/>
    <w:rsid w:val="00143310"/>
    <w:rsid w:val="00144611"/>
    <w:rsid w:val="00144E9C"/>
    <w:rsid w:val="00150DCD"/>
    <w:rsid w:val="00152ED2"/>
    <w:rsid w:val="00154993"/>
    <w:rsid w:val="0016078E"/>
    <w:rsid w:val="00161094"/>
    <w:rsid w:val="00163DF9"/>
    <w:rsid w:val="001666D6"/>
    <w:rsid w:val="00166B5D"/>
    <w:rsid w:val="001675EF"/>
    <w:rsid w:val="0017028A"/>
    <w:rsid w:val="001717C7"/>
    <w:rsid w:val="001765F1"/>
    <w:rsid w:val="0018037B"/>
    <w:rsid w:val="0018114A"/>
    <w:rsid w:val="001826B7"/>
    <w:rsid w:val="00183036"/>
    <w:rsid w:val="001901C6"/>
    <w:rsid w:val="00190A7A"/>
    <w:rsid w:val="00190D5A"/>
    <w:rsid w:val="00191CAE"/>
    <w:rsid w:val="0019249C"/>
    <w:rsid w:val="00192F14"/>
    <w:rsid w:val="001979B5"/>
    <w:rsid w:val="001A1413"/>
    <w:rsid w:val="001A5F7C"/>
    <w:rsid w:val="001A60FD"/>
    <w:rsid w:val="001A6E5B"/>
    <w:rsid w:val="001A7451"/>
    <w:rsid w:val="001B37C6"/>
    <w:rsid w:val="001B77AB"/>
    <w:rsid w:val="001C1FAD"/>
    <w:rsid w:val="001C2F9C"/>
    <w:rsid w:val="001C6E51"/>
    <w:rsid w:val="001D541C"/>
    <w:rsid w:val="001E0F2E"/>
    <w:rsid w:val="001E188E"/>
    <w:rsid w:val="001E4F92"/>
    <w:rsid w:val="001F4A73"/>
    <w:rsid w:val="0020105E"/>
    <w:rsid w:val="00205580"/>
    <w:rsid w:val="00207A09"/>
    <w:rsid w:val="00207D53"/>
    <w:rsid w:val="002157BB"/>
    <w:rsid w:val="00221024"/>
    <w:rsid w:val="002262B5"/>
    <w:rsid w:val="00226E05"/>
    <w:rsid w:val="00227942"/>
    <w:rsid w:val="00230975"/>
    <w:rsid w:val="0023138D"/>
    <w:rsid w:val="002325C6"/>
    <w:rsid w:val="002362B2"/>
    <w:rsid w:val="002379B9"/>
    <w:rsid w:val="00240013"/>
    <w:rsid w:val="0024118E"/>
    <w:rsid w:val="00241BAC"/>
    <w:rsid w:val="002436AA"/>
    <w:rsid w:val="00243C8C"/>
    <w:rsid w:val="002468D1"/>
    <w:rsid w:val="002502C3"/>
    <w:rsid w:val="002514F1"/>
    <w:rsid w:val="00251BF7"/>
    <w:rsid w:val="00253E62"/>
    <w:rsid w:val="0025532A"/>
    <w:rsid w:val="0025544F"/>
    <w:rsid w:val="00260382"/>
    <w:rsid w:val="00262362"/>
    <w:rsid w:val="00265815"/>
    <w:rsid w:val="00266CB4"/>
    <w:rsid w:val="00267DD1"/>
    <w:rsid w:val="00271D61"/>
    <w:rsid w:val="00272E71"/>
    <w:rsid w:val="002801AA"/>
    <w:rsid w:val="002817D5"/>
    <w:rsid w:val="00291FBC"/>
    <w:rsid w:val="00293BEF"/>
    <w:rsid w:val="00295B34"/>
    <w:rsid w:val="002A0C07"/>
    <w:rsid w:val="002A10BA"/>
    <w:rsid w:val="002A26BA"/>
    <w:rsid w:val="002A5D69"/>
    <w:rsid w:val="002A77E5"/>
    <w:rsid w:val="002B1DBF"/>
    <w:rsid w:val="002B1EF1"/>
    <w:rsid w:val="002B600C"/>
    <w:rsid w:val="002C0D5D"/>
    <w:rsid w:val="002C1818"/>
    <w:rsid w:val="002C32FA"/>
    <w:rsid w:val="002C5AF4"/>
    <w:rsid w:val="002C6008"/>
    <w:rsid w:val="002C692D"/>
    <w:rsid w:val="002C6ABE"/>
    <w:rsid w:val="002C703D"/>
    <w:rsid w:val="002D0A1F"/>
    <w:rsid w:val="002D0BE2"/>
    <w:rsid w:val="002D13F3"/>
    <w:rsid w:val="002D19F7"/>
    <w:rsid w:val="002D5EED"/>
    <w:rsid w:val="002E162E"/>
    <w:rsid w:val="002E29E8"/>
    <w:rsid w:val="002E388C"/>
    <w:rsid w:val="002E53BB"/>
    <w:rsid w:val="002E6F44"/>
    <w:rsid w:val="002E7874"/>
    <w:rsid w:val="002E7EEE"/>
    <w:rsid w:val="002F1BF3"/>
    <w:rsid w:val="002F29A4"/>
    <w:rsid w:val="002F2F3C"/>
    <w:rsid w:val="002F30D4"/>
    <w:rsid w:val="002F4D43"/>
    <w:rsid w:val="002F6D73"/>
    <w:rsid w:val="002F7F4C"/>
    <w:rsid w:val="003056C6"/>
    <w:rsid w:val="00310436"/>
    <w:rsid w:val="00310A95"/>
    <w:rsid w:val="00311B14"/>
    <w:rsid w:val="00311B4D"/>
    <w:rsid w:val="00314E9A"/>
    <w:rsid w:val="00324306"/>
    <w:rsid w:val="003278D6"/>
    <w:rsid w:val="003303F0"/>
    <w:rsid w:val="00331765"/>
    <w:rsid w:val="00332E4A"/>
    <w:rsid w:val="003402C6"/>
    <w:rsid w:val="0034059B"/>
    <w:rsid w:val="003409CA"/>
    <w:rsid w:val="00341586"/>
    <w:rsid w:val="00342BCF"/>
    <w:rsid w:val="0035019C"/>
    <w:rsid w:val="00352B53"/>
    <w:rsid w:val="00360248"/>
    <w:rsid w:val="00360C66"/>
    <w:rsid w:val="003617B7"/>
    <w:rsid w:val="00362CB6"/>
    <w:rsid w:val="00363029"/>
    <w:rsid w:val="00366A46"/>
    <w:rsid w:val="00374F7E"/>
    <w:rsid w:val="0037761A"/>
    <w:rsid w:val="00377810"/>
    <w:rsid w:val="00377A0D"/>
    <w:rsid w:val="0038677D"/>
    <w:rsid w:val="00386B53"/>
    <w:rsid w:val="00387B51"/>
    <w:rsid w:val="00390405"/>
    <w:rsid w:val="00394032"/>
    <w:rsid w:val="003A47D6"/>
    <w:rsid w:val="003A49C7"/>
    <w:rsid w:val="003B5CDF"/>
    <w:rsid w:val="003B5FD3"/>
    <w:rsid w:val="003B7C19"/>
    <w:rsid w:val="003C06A8"/>
    <w:rsid w:val="003C366B"/>
    <w:rsid w:val="003C44CE"/>
    <w:rsid w:val="003C49B3"/>
    <w:rsid w:val="003C63DE"/>
    <w:rsid w:val="003C7174"/>
    <w:rsid w:val="003D1FD8"/>
    <w:rsid w:val="003D236D"/>
    <w:rsid w:val="003D3A2F"/>
    <w:rsid w:val="003D3FF4"/>
    <w:rsid w:val="003D5DCC"/>
    <w:rsid w:val="003D7161"/>
    <w:rsid w:val="003E3F9D"/>
    <w:rsid w:val="003E69E5"/>
    <w:rsid w:val="003F7E0C"/>
    <w:rsid w:val="00400B66"/>
    <w:rsid w:val="00400CFB"/>
    <w:rsid w:val="00400DA3"/>
    <w:rsid w:val="0040446B"/>
    <w:rsid w:val="00406314"/>
    <w:rsid w:val="0040748E"/>
    <w:rsid w:val="004111D8"/>
    <w:rsid w:val="00412206"/>
    <w:rsid w:val="00423D21"/>
    <w:rsid w:val="00427E08"/>
    <w:rsid w:val="00430491"/>
    <w:rsid w:val="0043225F"/>
    <w:rsid w:val="00432A3D"/>
    <w:rsid w:val="00433F0F"/>
    <w:rsid w:val="00433F7A"/>
    <w:rsid w:val="004349BA"/>
    <w:rsid w:val="0043575C"/>
    <w:rsid w:val="004365C7"/>
    <w:rsid w:val="00436CEE"/>
    <w:rsid w:val="004425B7"/>
    <w:rsid w:val="00444A85"/>
    <w:rsid w:val="00450331"/>
    <w:rsid w:val="00450ABF"/>
    <w:rsid w:val="004620D2"/>
    <w:rsid w:val="00462CFA"/>
    <w:rsid w:val="00466DE5"/>
    <w:rsid w:val="004752CC"/>
    <w:rsid w:val="00475A60"/>
    <w:rsid w:val="004840FE"/>
    <w:rsid w:val="004866DA"/>
    <w:rsid w:val="00486DB1"/>
    <w:rsid w:val="004872FF"/>
    <w:rsid w:val="00487364"/>
    <w:rsid w:val="0048781B"/>
    <w:rsid w:val="00487D0E"/>
    <w:rsid w:val="00487E43"/>
    <w:rsid w:val="00491610"/>
    <w:rsid w:val="00491851"/>
    <w:rsid w:val="00493D03"/>
    <w:rsid w:val="00493E10"/>
    <w:rsid w:val="00494046"/>
    <w:rsid w:val="00496FC8"/>
    <w:rsid w:val="00497252"/>
    <w:rsid w:val="004972D1"/>
    <w:rsid w:val="004972E8"/>
    <w:rsid w:val="004A2889"/>
    <w:rsid w:val="004A2CA0"/>
    <w:rsid w:val="004A5353"/>
    <w:rsid w:val="004B00AB"/>
    <w:rsid w:val="004B2444"/>
    <w:rsid w:val="004B263A"/>
    <w:rsid w:val="004B59E0"/>
    <w:rsid w:val="004B6B47"/>
    <w:rsid w:val="004B7786"/>
    <w:rsid w:val="004C0F9E"/>
    <w:rsid w:val="004C1243"/>
    <w:rsid w:val="004C13EC"/>
    <w:rsid w:val="004C140A"/>
    <w:rsid w:val="004C2D3E"/>
    <w:rsid w:val="004C3D4C"/>
    <w:rsid w:val="004C52EB"/>
    <w:rsid w:val="004C5C26"/>
    <w:rsid w:val="004C64B6"/>
    <w:rsid w:val="004D13CB"/>
    <w:rsid w:val="004D394F"/>
    <w:rsid w:val="004D53B7"/>
    <w:rsid w:val="004E0F13"/>
    <w:rsid w:val="004E38CD"/>
    <w:rsid w:val="004E75F7"/>
    <w:rsid w:val="004E7BD4"/>
    <w:rsid w:val="004F493B"/>
    <w:rsid w:val="004F7E99"/>
    <w:rsid w:val="005003F9"/>
    <w:rsid w:val="0050417B"/>
    <w:rsid w:val="0050508C"/>
    <w:rsid w:val="005133CE"/>
    <w:rsid w:val="00515CAE"/>
    <w:rsid w:val="00521BA3"/>
    <w:rsid w:val="00522941"/>
    <w:rsid w:val="00523E0D"/>
    <w:rsid w:val="00525588"/>
    <w:rsid w:val="00525D76"/>
    <w:rsid w:val="0052710E"/>
    <w:rsid w:val="00527899"/>
    <w:rsid w:val="00536FF2"/>
    <w:rsid w:val="00541554"/>
    <w:rsid w:val="005442FC"/>
    <w:rsid w:val="00544E18"/>
    <w:rsid w:val="00544F25"/>
    <w:rsid w:val="005470CA"/>
    <w:rsid w:val="00551100"/>
    <w:rsid w:val="00554FF8"/>
    <w:rsid w:val="0055631D"/>
    <w:rsid w:val="00563889"/>
    <w:rsid w:val="005645CE"/>
    <w:rsid w:val="005675DD"/>
    <w:rsid w:val="00572405"/>
    <w:rsid w:val="00572BF3"/>
    <w:rsid w:val="00577309"/>
    <w:rsid w:val="00577763"/>
    <w:rsid w:val="00590B79"/>
    <w:rsid w:val="00592C56"/>
    <w:rsid w:val="00593935"/>
    <w:rsid w:val="005973FD"/>
    <w:rsid w:val="00597C68"/>
    <w:rsid w:val="00597D92"/>
    <w:rsid w:val="005A382B"/>
    <w:rsid w:val="005A4047"/>
    <w:rsid w:val="005A66E2"/>
    <w:rsid w:val="005A7271"/>
    <w:rsid w:val="005B0B48"/>
    <w:rsid w:val="005B0F78"/>
    <w:rsid w:val="005B281D"/>
    <w:rsid w:val="005B63E4"/>
    <w:rsid w:val="005C0D39"/>
    <w:rsid w:val="005C1647"/>
    <w:rsid w:val="005C46D1"/>
    <w:rsid w:val="005C5150"/>
    <w:rsid w:val="005C6232"/>
    <w:rsid w:val="005D69FE"/>
    <w:rsid w:val="005D6F7A"/>
    <w:rsid w:val="005E5B88"/>
    <w:rsid w:val="005E78EE"/>
    <w:rsid w:val="005F139F"/>
    <w:rsid w:val="005F1CB3"/>
    <w:rsid w:val="005F1EBD"/>
    <w:rsid w:val="005F3BB6"/>
    <w:rsid w:val="005F576B"/>
    <w:rsid w:val="005F5CCA"/>
    <w:rsid w:val="005F7AE4"/>
    <w:rsid w:val="005F7C2C"/>
    <w:rsid w:val="00601EDF"/>
    <w:rsid w:val="00603B37"/>
    <w:rsid w:val="006063D0"/>
    <w:rsid w:val="006066A9"/>
    <w:rsid w:val="00606E45"/>
    <w:rsid w:val="00607C55"/>
    <w:rsid w:val="00613C45"/>
    <w:rsid w:val="00623D96"/>
    <w:rsid w:val="00625929"/>
    <w:rsid w:val="00627B0F"/>
    <w:rsid w:val="00633D4E"/>
    <w:rsid w:val="0063526F"/>
    <w:rsid w:val="00637E86"/>
    <w:rsid w:val="006406A3"/>
    <w:rsid w:val="00642285"/>
    <w:rsid w:val="006422DE"/>
    <w:rsid w:val="006439FA"/>
    <w:rsid w:val="00644161"/>
    <w:rsid w:val="00650098"/>
    <w:rsid w:val="006561BF"/>
    <w:rsid w:val="00656374"/>
    <w:rsid w:val="00657F6B"/>
    <w:rsid w:val="00660FB9"/>
    <w:rsid w:val="00661F2C"/>
    <w:rsid w:val="00662FB3"/>
    <w:rsid w:val="00671308"/>
    <w:rsid w:val="00673620"/>
    <w:rsid w:val="0067485D"/>
    <w:rsid w:val="006750A8"/>
    <w:rsid w:val="00681BDD"/>
    <w:rsid w:val="006840AF"/>
    <w:rsid w:val="00686544"/>
    <w:rsid w:val="0069130F"/>
    <w:rsid w:val="006A2065"/>
    <w:rsid w:val="006A3D88"/>
    <w:rsid w:val="006A4A7A"/>
    <w:rsid w:val="006A72DB"/>
    <w:rsid w:val="006B0848"/>
    <w:rsid w:val="006B4DCA"/>
    <w:rsid w:val="006B733D"/>
    <w:rsid w:val="006C34AE"/>
    <w:rsid w:val="006C60B0"/>
    <w:rsid w:val="006C67AF"/>
    <w:rsid w:val="006D3DC5"/>
    <w:rsid w:val="006D46DE"/>
    <w:rsid w:val="006E125B"/>
    <w:rsid w:val="006E23E0"/>
    <w:rsid w:val="006E5503"/>
    <w:rsid w:val="006F143B"/>
    <w:rsid w:val="006F1BDB"/>
    <w:rsid w:val="006F2511"/>
    <w:rsid w:val="006F44C4"/>
    <w:rsid w:val="006F4C15"/>
    <w:rsid w:val="006F5391"/>
    <w:rsid w:val="006F5769"/>
    <w:rsid w:val="00700667"/>
    <w:rsid w:val="007039EC"/>
    <w:rsid w:val="00703A48"/>
    <w:rsid w:val="007043F4"/>
    <w:rsid w:val="007074AA"/>
    <w:rsid w:val="007137AF"/>
    <w:rsid w:val="00714664"/>
    <w:rsid w:val="0071572D"/>
    <w:rsid w:val="007157BA"/>
    <w:rsid w:val="007169F9"/>
    <w:rsid w:val="007174A6"/>
    <w:rsid w:val="007214F1"/>
    <w:rsid w:val="007224B3"/>
    <w:rsid w:val="0072797A"/>
    <w:rsid w:val="0073000A"/>
    <w:rsid w:val="00731303"/>
    <w:rsid w:val="0073172C"/>
    <w:rsid w:val="00732459"/>
    <w:rsid w:val="007344CA"/>
    <w:rsid w:val="007402E0"/>
    <w:rsid w:val="00740E6D"/>
    <w:rsid w:val="00742F84"/>
    <w:rsid w:val="0074489D"/>
    <w:rsid w:val="00746549"/>
    <w:rsid w:val="007501BA"/>
    <w:rsid w:val="007514AD"/>
    <w:rsid w:val="00754634"/>
    <w:rsid w:val="0075524D"/>
    <w:rsid w:val="007560B0"/>
    <w:rsid w:val="00756DC4"/>
    <w:rsid w:val="007627D7"/>
    <w:rsid w:val="007627DF"/>
    <w:rsid w:val="007631C4"/>
    <w:rsid w:val="00763C22"/>
    <w:rsid w:val="00771397"/>
    <w:rsid w:val="00772A89"/>
    <w:rsid w:val="00773403"/>
    <w:rsid w:val="00774857"/>
    <w:rsid w:val="00776313"/>
    <w:rsid w:val="00776C4F"/>
    <w:rsid w:val="00780CB7"/>
    <w:rsid w:val="00781261"/>
    <w:rsid w:val="007817AA"/>
    <w:rsid w:val="0078189B"/>
    <w:rsid w:val="007838E4"/>
    <w:rsid w:val="007846DC"/>
    <w:rsid w:val="00785AF4"/>
    <w:rsid w:val="00786F5E"/>
    <w:rsid w:val="00787E6F"/>
    <w:rsid w:val="007930C9"/>
    <w:rsid w:val="007A19D8"/>
    <w:rsid w:val="007A4D3C"/>
    <w:rsid w:val="007B079E"/>
    <w:rsid w:val="007B261F"/>
    <w:rsid w:val="007B5B75"/>
    <w:rsid w:val="007C1E49"/>
    <w:rsid w:val="007C2138"/>
    <w:rsid w:val="007C2DBF"/>
    <w:rsid w:val="007D5408"/>
    <w:rsid w:val="007E354E"/>
    <w:rsid w:val="007E36E4"/>
    <w:rsid w:val="007E6317"/>
    <w:rsid w:val="007F0ACE"/>
    <w:rsid w:val="007F4C3E"/>
    <w:rsid w:val="007F68F7"/>
    <w:rsid w:val="00800802"/>
    <w:rsid w:val="00800F0E"/>
    <w:rsid w:val="008011B4"/>
    <w:rsid w:val="00803E38"/>
    <w:rsid w:val="00804024"/>
    <w:rsid w:val="0081753E"/>
    <w:rsid w:val="00824E82"/>
    <w:rsid w:val="008274C2"/>
    <w:rsid w:val="00830825"/>
    <w:rsid w:val="00832A46"/>
    <w:rsid w:val="00837D33"/>
    <w:rsid w:val="00837EB1"/>
    <w:rsid w:val="00843377"/>
    <w:rsid w:val="0085010E"/>
    <w:rsid w:val="00852A4E"/>
    <w:rsid w:val="0085454F"/>
    <w:rsid w:val="00854FC6"/>
    <w:rsid w:val="0085750C"/>
    <w:rsid w:val="00857661"/>
    <w:rsid w:val="0086140C"/>
    <w:rsid w:val="00862D6A"/>
    <w:rsid w:val="00865EA3"/>
    <w:rsid w:val="0087266B"/>
    <w:rsid w:val="0087354F"/>
    <w:rsid w:val="00874837"/>
    <w:rsid w:val="0087593E"/>
    <w:rsid w:val="00880588"/>
    <w:rsid w:val="0088135E"/>
    <w:rsid w:val="0088640C"/>
    <w:rsid w:val="0089109C"/>
    <w:rsid w:val="008919C3"/>
    <w:rsid w:val="00891A70"/>
    <w:rsid w:val="00896985"/>
    <w:rsid w:val="008A409C"/>
    <w:rsid w:val="008A4211"/>
    <w:rsid w:val="008A4339"/>
    <w:rsid w:val="008A4E3E"/>
    <w:rsid w:val="008B27EA"/>
    <w:rsid w:val="008B33B6"/>
    <w:rsid w:val="008B3883"/>
    <w:rsid w:val="008B45B8"/>
    <w:rsid w:val="008B7E14"/>
    <w:rsid w:val="008B7FE8"/>
    <w:rsid w:val="008C274D"/>
    <w:rsid w:val="008C28C5"/>
    <w:rsid w:val="008C2A6B"/>
    <w:rsid w:val="008C2C71"/>
    <w:rsid w:val="008C36C9"/>
    <w:rsid w:val="008C5215"/>
    <w:rsid w:val="008C53D0"/>
    <w:rsid w:val="008D1006"/>
    <w:rsid w:val="008D109F"/>
    <w:rsid w:val="008D4262"/>
    <w:rsid w:val="008D527A"/>
    <w:rsid w:val="008D56DA"/>
    <w:rsid w:val="008D5771"/>
    <w:rsid w:val="008E00BA"/>
    <w:rsid w:val="008E17D0"/>
    <w:rsid w:val="008E1E3D"/>
    <w:rsid w:val="008E444A"/>
    <w:rsid w:val="008E67B2"/>
    <w:rsid w:val="008F04FF"/>
    <w:rsid w:val="008F472E"/>
    <w:rsid w:val="008F4BD9"/>
    <w:rsid w:val="008F55DE"/>
    <w:rsid w:val="008F69B5"/>
    <w:rsid w:val="008F6E91"/>
    <w:rsid w:val="008F6F5A"/>
    <w:rsid w:val="008F7C06"/>
    <w:rsid w:val="00902556"/>
    <w:rsid w:val="0090338C"/>
    <w:rsid w:val="009043D6"/>
    <w:rsid w:val="0091048E"/>
    <w:rsid w:val="00910F4C"/>
    <w:rsid w:val="009144DF"/>
    <w:rsid w:val="009156E8"/>
    <w:rsid w:val="00915785"/>
    <w:rsid w:val="009219D5"/>
    <w:rsid w:val="00922726"/>
    <w:rsid w:val="00924ABC"/>
    <w:rsid w:val="00924DC5"/>
    <w:rsid w:val="0092519D"/>
    <w:rsid w:val="00933A41"/>
    <w:rsid w:val="00940E8F"/>
    <w:rsid w:val="009412B3"/>
    <w:rsid w:val="009416A4"/>
    <w:rsid w:val="00942392"/>
    <w:rsid w:val="00943688"/>
    <w:rsid w:val="009458D8"/>
    <w:rsid w:val="00946EBC"/>
    <w:rsid w:val="009513F4"/>
    <w:rsid w:val="00952CD8"/>
    <w:rsid w:val="0095309C"/>
    <w:rsid w:val="00954923"/>
    <w:rsid w:val="009652F2"/>
    <w:rsid w:val="009719ED"/>
    <w:rsid w:val="00972048"/>
    <w:rsid w:val="00975826"/>
    <w:rsid w:val="00976249"/>
    <w:rsid w:val="00986C37"/>
    <w:rsid w:val="00990FCA"/>
    <w:rsid w:val="00991A0A"/>
    <w:rsid w:val="009942DE"/>
    <w:rsid w:val="00997528"/>
    <w:rsid w:val="0099796A"/>
    <w:rsid w:val="009A0155"/>
    <w:rsid w:val="009A5F9B"/>
    <w:rsid w:val="009A7C52"/>
    <w:rsid w:val="009B33BB"/>
    <w:rsid w:val="009B3709"/>
    <w:rsid w:val="009C1346"/>
    <w:rsid w:val="009C3008"/>
    <w:rsid w:val="009D05C8"/>
    <w:rsid w:val="009D380E"/>
    <w:rsid w:val="009D49D9"/>
    <w:rsid w:val="009D712A"/>
    <w:rsid w:val="009E3C0B"/>
    <w:rsid w:val="009E495F"/>
    <w:rsid w:val="009E558C"/>
    <w:rsid w:val="009E5FCA"/>
    <w:rsid w:val="009F01B4"/>
    <w:rsid w:val="009F5610"/>
    <w:rsid w:val="00A03E76"/>
    <w:rsid w:val="00A04CF9"/>
    <w:rsid w:val="00A1135B"/>
    <w:rsid w:val="00A12D07"/>
    <w:rsid w:val="00A13244"/>
    <w:rsid w:val="00A17783"/>
    <w:rsid w:val="00A20201"/>
    <w:rsid w:val="00A236CA"/>
    <w:rsid w:val="00A239AA"/>
    <w:rsid w:val="00A272C4"/>
    <w:rsid w:val="00A30E57"/>
    <w:rsid w:val="00A315EC"/>
    <w:rsid w:val="00A3473D"/>
    <w:rsid w:val="00A37314"/>
    <w:rsid w:val="00A41956"/>
    <w:rsid w:val="00A439E8"/>
    <w:rsid w:val="00A454BF"/>
    <w:rsid w:val="00A45753"/>
    <w:rsid w:val="00A51CE5"/>
    <w:rsid w:val="00A52541"/>
    <w:rsid w:val="00A52770"/>
    <w:rsid w:val="00A53423"/>
    <w:rsid w:val="00A54242"/>
    <w:rsid w:val="00A56EEA"/>
    <w:rsid w:val="00A57037"/>
    <w:rsid w:val="00A615D0"/>
    <w:rsid w:val="00A62659"/>
    <w:rsid w:val="00A65F20"/>
    <w:rsid w:val="00A71EDC"/>
    <w:rsid w:val="00A76293"/>
    <w:rsid w:val="00A77DA2"/>
    <w:rsid w:val="00A85D9D"/>
    <w:rsid w:val="00A92C4C"/>
    <w:rsid w:val="00A92F82"/>
    <w:rsid w:val="00A951D9"/>
    <w:rsid w:val="00A97E0C"/>
    <w:rsid w:val="00AA2A5A"/>
    <w:rsid w:val="00AA3D14"/>
    <w:rsid w:val="00AA602D"/>
    <w:rsid w:val="00AA66D2"/>
    <w:rsid w:val="00AA7D79"/>
    <w:rsid w:val="00AB1321"/>
    <w:rsid w:val="00AB572D"/>
    <w:rsid w:val="00AC30C4"/>
    <w:rsid w:val="00AC423A"/>
    <w:rsid w:val="00AC6142"/>
    <w:rsid w:val="00AD2C62"/>
    <w:rsid w:val="00AD54B2"/>
    <w:rsid w:val="00AD616E"/>
    <w:rsid w:val="00AE03B5"/>
    <w:rsid w:val="00AE0C93"/>
    <w:rsid w:val="00AE17B1"/>
    <w:rsid w:val="00AE1F5C"/>
    <w:rsid w:val="00AE232E"/>
    <w:rsid w:val="00AE2923"/>
    <w:rsid w:val="00AE4C0D"/>
    <w:rsid w:val="00AE5F8F"/>
    <w:rsid w:val="00AE7F9D"/>
    <w:rsid w:val="00AF1794"/>
    <w:rsid w:val="00AF2D96"/>
    <w:rsid w:val="00AF5631"/>
    <w:rsid w:val="00AF5FD0"/>
    <w:rsid w:val="00B028F7"/>
    <w:rsid w:val="00B048CD"/>
    <w:rsid w:val="00B075C5"/>
    <w:rsid w:val="00B14C74"/>
    <w:rsid w:val="00B20BAA"/>
    <w:rsid w:val="00B20C12"/>
    <w:rsid w:val="00B22863"/>
    <w:rsid w:val="00B2593C"/>
    <w:rsid w:val="00B27AB2"/>
    <w:rsid w:val="00B316A3"/>
    <w:rsid w:val="00B35F8E"/>
    <w:rsid w:val="00B41502"/>
    <w:rsid w:val="00B459B2"/>
    <w:rsid w:val="00B479FD"/>
    <w:rsid w:val="00B51024"/>
    <w:rsid w:val="00B512B5"/>
    <w:rsid w:val="00B55068"/>
    <w:rsid w:val="00B60CD8"/>
    <w:rsid w:val="00B60F9C"/>
    <w:rsid w:val="00B61B4C"/>
    <w:rsid w:val="00B63D9D"/>
    <w:rsid w:val="00B66177"/>
    <w:rsid w:val="00B6769E"/>
    <w:rsid w:val="00B70EBD"/>
    <w:rsid w:val="00B73F22"/>
    <w:rsid w:val="00B74360"/>
    <w:rsid w:val="00B76921"/>
    <w:rsid w:val="00B76E1F"/>
    <w:rsid w:val="00B76F9A"/>
    <w:rsid w:val="00B774D3"/>
    <w:rsid w:val="00B810B2"/>
    <w:rsid w:val="00B81C58"/>
    <w:rsid w:val="00B861F2"/>
    <w:rsid w:val="00B9278C"/>
    <w:rsid w:val="00B92ADA"/>
    <w:rsid w:val="00B930E5"/>
    <w:rsid w:val="00B93394"/>
    <w:rsid w:val="00B94B4F"/>
    <w:rsid w:val="00B95401"/>
    <w:rsid w:val="00B9755F"/>
    <w:rsid w:val="00BA02BB"/>
    <w:rsid w:val="00BA26F7"/>
    <w:rsid w:val="00BA29AB"/>
    <w:rsid w:val="00BA4421"/>
    <w:rsid w:val="00BA79F0"/>
    <w:rsid w:val="00BB2F04"/>
    <w:rsid w:val="00BB3956"/>
    <w:rsid w:val="00BB3A17"/>
    <w:rsid w:val="00BB5068"/>
    <w:rsid w:val="00BB5A9D"/>
    <w:rsid w:val="00BB7AE8"/>
    <w:rsid w:val="00BC373E"/>
    <w:rsid w:val="00BC3B9C"/>
    <w:rsid w:val="00BC6897"/>
    <w:rsid w:val="00BC7A2B"/>
    <w:rsid w:val="00BC7D21"/>
    <w:rsid w:val="00BD0481"/>
    <w:rsid w:val="00BD0592"/>
    <w:rsid w:val="00BD1BB9"/>
    <w:rsid w:val="00BD1F6A"/>
    <w:rsid w:val="00BD3E8A"/>
    <w:rsid w:val="00BD4447"/>
    <w:rsid w:val="00BD4539"/>
    <w:rsid w:val="00BE2623"/>
    <w:rsid w:val="00BE3923"/>
    <w:rsid w:val="00BE4BF0"/>
    <w:rsid w:val="00BE5EE5"/>
    <w:rsid w:val="00BE68EE"/>
    <w:rsid w:val="00BE6CF4"/>
    <w:rsid w:val="00BE7F63"/>
    <w:rsid w:val="00BF16CD"/>
    <w:rsid w:val="00BF45FB"/>
    <w:rsid w:val="00BF762D"/>
    <w:rsid w:val="00C01C33"/>
    <w:rsid w:val="00C0216C"/>
    <w:rsid w:val="00C0516D"/>
    <w:rsid w:val="00C10607"/>
    <w:rsid w:val="00C11CA9"/>
    <w:rsid w:val="00C123B1"/>
    <w:rsid w:val="00C1323F"/>
    <w:rsid w:val="00C16126"/>
    <w:rsid w:val="00C1747D"/>
    <w:rsid w:val="00C20E8A"/>
    <w:rsid w:val="00C21071"/>
    <w:rsid w:val="00C21A56"/>
    <w:rsid w:val="00C2398C"/>
    <w:rsid w:val="00C2549C"/>
    <w:rsid w:val="00C25569"/>
    <w:rsid w:val="00C27366"/>
    <w:rsid w:val="00C335C9"/>
    <w:rsid w:val="00C378DC"/>
    <w:rsid w:val="00C4098F"/>
    <w:rsid w:val="00C45F90"/>
    <w:rsid w:val="00C47DF8"/>
    <w:rsid w:val="00C61F3E"/>
    <w:rsid w:val="00C63008"/>
    <w:rsid w:val="00C63AA8"/>
    <w:rsid w:val="00C67206"/>
    <w:rsid w:val="00C701B4"/>
    <w:rsid w:val="00C74A5D"/>
    <w:rsid w:val="00C75297"/>
    <w:rsid w:val="00C7783C"/>
    <w:rsid w:val="00C80EE3"/>
    <w:rsid w:val="00C81210"/>
    <w:rsid w:val="00C84994"/>
    <w:rsid w:val="00C853EE"/>
    <w:rsid w:val="00C8571A"/>
    <w:rsid w:val="00C930F4"/>
    <w:rsid w:val="00C967B5"/>
    <w:rsid w:val="00CA1134"/>
    <w:rsid w:val="00CA1CA7"/>
    <w:rsid w:val="00CA2D9E"/>
    <w:rsid w:val="00CA3298"/>
    <w:rsid w:val="00CA6B58"/>
    <w:rsid w:val="00CA6B5F"/>
    <w:rsid w:val="00CA70CC"/>
    <w:rsid w:val="00CB09FD"/>
    <w:rsid w:val="00CB1298"/>
    <w:rsid w:val="00CB1AE6"/>
    <w:rsid w:val="00CB3ED4"/>
    <w:rsid w:val="00CB3F86"/>
    <w:rsid w:val="00CB4EC8"/>
    <w:rsid w:val="00CB581B"/>
    <w:rsid w:val="00CB7382"/>
    <w:rsid w:val="00CC33D1"/>
    <w:rsid w:val="00CC4AC9"/>
    <w:rsid w:val="00CC4EFC"/>
    <w:rsid w:val="00CC6025"/>
    <w:rsid w:val="00CD04AA"/>
    <w:rsid w:val="00CD34F0"/>
    <w:rsid w:val="00CD3EB9"/>
    <w:rsid w:val="00CD52E7"/>
    <w:rsid w:val="00CE0954"/>
    <w:rsid w:val="00CE56C1"/>
    <w:rsid w:val="00CE5ACF"/>
    <w:rsid w:val="00CE7142"/>
    <w:rsid w:val="00CE71DF"/>
    <w:rsid w:val="00CE7BA1"/>
    <w:rsid w:val="00CF08B6"/>
    <w:rsid w:val="00CF11F7"/>
    <w:rsid w:val="00CF2175"/>
    <w:rsid w:val="00CF23AE"/>
    <w:rsid w:val="00D02D54"/>
    <w:rsid w:val="00D05E94"/>
    <w:rsid w:val="00D127B4"/>
    <w:rsid w:val="00D1323F"/>
    <w:rsid w:val="00D15205"/>
    <w:rsid w:val="00D202BA"/>
    <w:rsid w:val="00D22DB3"/>
    <w:rsid w:val="00D251AC"/>
    <w:rsid w:val="00D30712"/>
    <w:rsid w:val="00D32050"/>
    <w:rsid w:val="00D340BC"/>
    <w:rsid w:val="00D36F4B"/>
    <w:rsid w:val="00D37896"/>
    <w:rsid w:val="00D41F18"/>
    <w:rsid w:val="00D43766"/>
    <w:rsid w:val="00D47825"/>
    <w:rsid w:val="00D47CCF"/>
    <w:rsid w:val="00D50AA1"/>
    <w:rsid w:val="00D519DD"/>
    <w:rsid w:val="00D553CD"/>
    <w:rsid w:val="00D572FE"/>
    <w:rsid w:val="00D632FC"/>
    <w:rsid w:val="00D6457B"/>
    <w:rsid w:val="00D66DEC"/>
    <w:rsid w:val="00D679F9"/>
    <w:rsid w:val="00D71A41"/>
    <w:rsid w:val="00D72049"/>
    <w:rsid w:val="00D73110"/>
    <w:rsid w:val="00D733A2"/>
    <w:rsid w:val="00D74FB6"/>
    <w:rsid w:val="00D7606C"/>
    <w:rsid w:val="00D768A4"/>
    <w:rsid w:val="00D8050C"/>
    <w:rsid w:val="00D80A66"/>
    <w:rsid w:val="00D80D53"/>
    <w:rsid w:val="00D92973"/>
    <w:rsid w:val="00D92F52"/>
    <w:rsid w:val="00D94A39"/>
    <w:rsid w:val="00D979CA"/>
    <w:rsid w:val="00DA00BE"/>
    <w:rsid w:val="00DA611A"/>
    <w:rsid w:val="00DA753F"/>
    <w:rsid w:val="00DB0120"/>
    <w:rsid w:val="00DB3985"/>
    <w:rsid w:val="00DB3AC1"/>
    <w:rsid w:val="00DB48D4"/>
    <w:rsid w:val="00DB4DB1"/>
    <w:rsid w:val="00DC182C"/>
    <w:rsid w:val="00DC1B9F"/>
    <w:rsid w:val="00DC4795"/>
    <w:rsid w:val="00DC50FB"/>
    <w:rsid w:val="00DC5754"/>
    <w:rsid w:val="00DC7A8B"/>
    <w:rsid w:val="00DD2D4B"/>
    <w:rsid w:val="00DD34A3"/>
    <w:rsid w:val="00DD42B9"/>
    <w:rsid w:val="00DD6056"/>
    <w:rsid w:val="00DD61C6"/>
    <w:rsid w:val="00DD7DFD"/>
    <w:rsid w:val="00DE0A32"/>
    <w:rsid w:val="00DE0F4E"/>
    <w:rsid w:val="00DE331B"/>
    <w:rsid w:val="00DE41E1"/>
    <w:rsid w:val="00DE516B"/>
    <w:rsid w:val="00DE5677"/>
    <w:rsid w:val="00DE6D60"/>
    <w:rsid w:val="00DE7C6A"/>
    <w:rsid w:val="00DF2857"/>
    <w:rsid w:val="00DF7205"/>
    <w:rsid w:val="00DF782B"/>
    <w:rsid w:val="00E009F5"/>
    <w:rsid w:val="00E02B7B"/>
    <w:rsid w:val="00E03AEF"/>
    <w:rsid w:val="00E0463F"/>
    <w:rsid w:val="00E06504"/>
    <w:rsid w:val="00E102DE"/>
    <w:rsid w:val="00E14070"/>
    <w:rsid w:val="00E14F28"/>
    <w:rsid w:val="00E1604D"/>
    <w:rsid w:val="00E164E5"/>
    <w:rsid w:val="00E2178C"/>
    <w:rsid w:val="00E24825"/>
    <w:rsid w:val="00E2554E"/>
    <w:rsid w:val="00E3052E"/>
    <w:rsid w:val="00E37D9A"/>
    <w:rsid w:val="00E4105C"/>
    <w:rsid w:val="00E42093"/>
    <w:rsid w:val="00E47897"/>
    <w:rsid w:val="00E47FE0"/>
    <w:rsid w:val="00E522AD"/>
    <w:rsid w:val="00E57F04"/>
    <w:rsid w:val="00E617A2"/>
    <w:rsid w:val="00E635C5"/>
    <w:rsid w:val="00E64103"/>
    <w:rsid w:val="00E6667D"/>
    <w:rsid w:val="00E720F0"/>
    <w:rsid w:val="00E72945"/>
    <w:rsid w:val="00E7448B"/>
    <w:rsid w:val="00E76CD1"/>
    <w:rsid w:val="00E8170B"/>
    <w:rsid w:val="00E85118"/>
    <w:rsid w:val="00E9108C"/>
    <w:rsid w:val="00E9240D"/>
    <w:rsid w:val="00E9359B"/>
    <w:rsid w:val="00E95A0E"/>
    <w:rsid w:val="00EA2607"/>
    <w:rsid w:val="00EA7F69"/>
    <w:rsid w:val="00EA7FF9"/>
    <w:rsid w:val="00EB02A0"/>
    <w:rsid w:val="00EB40F0"/>
    <w:rsid w:val="00EB5F0C"/>
    <w:rsid w:val="00EC13D8"/>
    <w:rsid w:val="00EC1C8D"/>
    <w:rsid w:val="00EC2BDF"/>
    <w:rsid w:val="00EC52E5"/>
    <w:rsid w:val="00EC6D03"/>
    <w:rsid w:val="00ED1AD0"/>
    <w:rsid w:val="00ED1EEB"/>
    <w:rsid w:val="00EE2135"/>
    <w:rsid w:val="00EE4AD8"/>
    <w:rsid w:val="00EE5F9F"/>
    <w:rsid w:val="00EE7FF4"/>
    <w:rsid w:val="00EF3CCE"/>
    <w:rsid w:val="00EF4ED5"/>
    <w:rsid w:val="00EF554F"/>
    <w:rsid w:val="00EF727E"/>
    <w:rsid w:val="00F054A3"/>
    <w:rsid w:val="00F05930"/>
    <w:rsid w:val="00F065BB"/>
    <w:rsid w:val="00F077B3"/>
    <w:rsid w:val="00F10666"/>
    <w:rsid w:val="00F139AC"/>
    <w:rsid w:val="00F14F2B"/>
    <w:rsid w:val="00F204A5"/>
    <w:rsid w:val="00F21EAC"/>
    <w:rsid w:val="00F3243D"/>
    <w:rsid w:val="00F33724"/>
    <w:rsid w:val="00F3421A"/>
    <w:rsid w:val="00F35765"/>
    <w:rsid w:val="00F37699"/>
    <w:rsid w:val="00F40C3E"/>
    <w:rsid w:val="00F4179B"/>
    <w:rsid w:val="00F4244B"/>
    <w:rsid w:val="00F46D0D"/>
    <w:rsid w:val="00F51370"/>
    <w:rsid w:val="00F51FB4"/>
    <w:rsid w:val="00F56864"/>
    <w:rsid w:val="00F63A35"/>
    <w:rsid w:val="00F70F74"/>
    <w:rsid w:val="00F71231"/>
    <w:rsid w:val="00F824C3"/>
    <w:rsid w:val="00F85B8F"/>
    <w:rsid w:val="00F92B59"/>
    <w:rsid w:val="00F948BC"/>
    <w:rsid w:val="00F94E17"/>
    <w:rsid w:val="00F960CF"/>
    <w:rsid w:val="00FA03EF"/>
    <w:rsid w:val="00FA10A3"/>
    <w:rsid w:val="00FA1226"/>
    <w:rsid w:val="00FA5145"/>
    <w:rsid w:val="00FA63E9"/>
    <w:rsid w:val="00FB0297"/>
    <w:rsid w:val="00FB0791"/>
    <w:rsid w:val="00FB36F8"/>
    <w:rsid w:val="00FB4237"/>
    <w:rsid w:val="00FB728B"/>
    <w:rsid w:val="00FC05B3"/>
    <w:rsid w:val="00FC22D2"/>
    <w:rsid w:val="00FC3212"/>
    <w:rsid w:val="00FD011F"/>
    <w:rsid w:val="00FD041E"/>
    <w:rsid w:val="00FD09D8"/>
    <w:rsid w:val="00FD559F"/>
    <w:rsid w:val="00FD7EF7"/>
    <w:rsid w:val="00FE5267"/>
    <w:rsid w:val="00FE53DA"/>
    <w:rsid w:val="00FE5649"/>
    <w:rsid w:val="00FE74DC"/>
    <w:rsid w:val="00FF06D7"/>
    <w:rsid w:val="00FF2318"/>
    <w:rsid w:val="00FF4F9C"/>
    <w:rsid w:val="00FF71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84D39B"/>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Nag 1,Bullet Number,Body MS Bullet"/>
    <w:basedOn w:val="Normalny"/>
    <w:link w:val="AkapitzlistZnak"/>
    <w:uiPriority w:val="34"/>
    <w:qFormat/>
    <w:rsid w:val="00D47CCF"/>
    <w:pPr>
      <w:ind w:left="720"/>
      <w:contextualSpacing/>
    </w:pPr>
  </w:style>
  <w:style w:type="paragraph" w:styleId="Tekstprzypisukocowego">
    <w:name w:val="endnote text"/>
    <w:basedOn w:val="Normalny"/>
    <w:link w:val="TekstprzypisukocowegoZnak"/>
    <w:uiPriority w:val="99"/>
    <w:semiHidden/>
    <w:unhideWhenUsed/>
    <w:rsid w:val="00D05E94"/>
    <w:rPr>
      <w:sz w:val="20"/>
      <w:szCs w:val="20"/>
    </w:rPr>
  </w:style>
  <w:style w:type="character" w:customStyle="1" w:styleId="TekstprzypisukocowegoZnak">
    <w:name w:val="Tekst przypisu końcowego Znak"/>
    <w:basedOn w:val="Domylnaczcionkaakapitu"/>
    <w:link w:val="Tekstprzypisukocowego"/>
    <w:uiPriority w:val="99"/>
    <w:semiHidden/>
    <w:rsid w:val="00D05E94"/>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D05E94"/>
    <w:rPr>
      <w:vertAlign w:val="superscript"/>
    </w:rPr>
  </w:style>
  <w:style w:type="character" w:customStyle="1" w:styleId="Nierozpoznanawzmianka1">
    <w:name w:val="Nierozpoznana wzmianka1"/>
    <w:basedOn w:val="Domylnaczcionkaakapitu"/>
    <w:uiPriority w:val="99"/>
    <w:semiHidden/>
    <w:unhideWhenUsed/>
    <w:rsid w:val="0025532A"/>
    <w:rPr>
      <w:color w:val="605E5C"/>
      <w:shd w:val="clear" w:color="auto" w:fill="E1DFDD"/>
    </w:rPr>
  </w:style>
  <w:style w:type="paragraph" w:customStyle="1" w:styleId="TekstNB">
    <w:name w:val="Tekst_NB"/>
    <w:basedOn w:val="Normalny"/>
    <w:link w:val="TekstNBZnak"/>
    <w:qFormat/>
    <w:rsid w:val="00837D33"/>
    <w:pPr>
      <w:numPr>
        <w:numId w:val="8"/>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837D33"/>
    <w:rPr>
      <w:rFonts w:ascii="Times New Roman" w:eastAsia="Times New Roman" w:hAnsi="Times New Roman" w:cs="Times New Roman"/>
      <w:szCs w:val="24"/>
      <w:lang w:eastAsia="x-none"/>
    </w:rPr>
  </w:style>
  <w:style w:type="character" w:customStyle="1" w:styleId="Nierozpoznanawzmianka2">
    <w:name w:val="Nierozpoznana wzmianka2"/>
    <w:basedOn w:val="Domylnaczcionkaakapitu"/>
    <w:uiPriority w:val="99"/>
    <w:semiHidden/>
    <w:unhideWhenUsed/>
    <w:rsid w:val="00BC7A2B"/>
    <w:rPr>
      <w:color w:val="605E5C"/>
      <w:shd w:val="clear" w:color="auto" w:fill="E1DFDD"/>
    </w:rPr>
  </w:style>
  <w:style w:type="character" w:styleId="Uwydatnienie">
    <w:name w:val="Emphasis"/>
    <w:basedOn w:val="Domylnaczcionkaakapitu"/>
    <w:uiPriority w:val="20"/>
    <w:qFormat/>
    <w:rsid w:val="00B9755F"/>
    <w:rPr>
      <w:i/>
      <w:iCs/>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link w:val="Akapitzlist"/>
    <w:uiPriority w:val="34"/>
    <w:qFormat/>
    <w:locked/>
    <w:rsid w:val="00B20BAA"/>
    <w:rPr>
      <w:rFonts w:ascii="Trebuchet MS" w:eastAsia="Times New Roman" w:hAnsi="Trebuchet MS" w:cs="Times New Roman"/>
      <w:sz w:val="18"/>
    </w:rPr>
  </w:style>
  <w:style w:type="character" w:styleId="UyteHipercze">
    <w:name w:val="FollowedHyperlink"/>
    <w:basedOn w:val="Domylnaczcionkaakapitu"/>
    <w:uiPriority w:val="99"/>
    <w:semiHidden/>
    <w:unhideWhenUsed/>
    <w:rsid w:val="00BE6CF4"/>
    <w:rPr>
      <w:color w:val="954F72" w:themeColor="followedHyperlink"/>
      <w:u w:val="single"/>
    </w:rPr>
  </w:style>
  <w:style w:type="paragraph" w:styleId="Poprawka">
    <w:name w:val="Revision"/>
    <w:hidden/>
    <w:uiPriority w:val="99"/>
    <w:semiHidden/>
    <w:rsid w:val="00577309"/>
    <w:pPr>
      <w:spacing w:after="0" w:line="240" w:lineRule="auto"/>
    </w:pPr>
    <w:rPr>
      <w:rFonts w:ascii="Trebuchet MS" w:eastAsia="Times New Roman" w:hAnsi="Trebuchet MS" w:cs="Times New Roman"/>
      <w:sz w:val="18"/>
    </w:rPr>
  </w:style>
  <w:style w:type="character" w:styleId="Nierozpoznanawzmianka">
    <w:name w:val="Unresolved Mention"/>
    <w:basedOn w:val="Domylnaczcionkaakapitu"/>
    <w:uiPriority w:val="99"/>
    <w:semiHidden/>
    <w:unhideWhenUsed/>
    <w:rsid w:val="00190A7A"/>
    <w:rPr>
      <w:color w:val="605E5C"/>
      <w:shd w:val="clear" w:color="auto" w:fill="E1DFDD"/>
    </w:rPr>
  </w:style>
  <w:style w:type="paragraph" w:styleId="NormalnyWeb">
    <w:name w:val="Normal (Web)"/>
    <w:basedOn w:val="Normalny"/>
    <w:uiPriority w:val="99"/>
    <w:unhideWhenUsed/>
    <w:rsid w:val="00AA7D79"/>
    <w:pPr>
      <w:spacing w:before="100" w:beforeAutospacing="1" w:after="100" w:afterAutospacing="1"/>
    </w:pPr>
    <w:rPr>
      <w:rFonts w:ascii="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84657">
      <w:bodyDiv w:val="1"/>
      <w:marLeft w:val="0"/>
      <w:marRight w:val="0"/>
      <w:marTop w:val="0"/>
      <w:marBottom w:val="0"/>
      <w:divBdr>
        <w:top w:val="none" w:sz="0" w:space="0" w:color="auto"/>
        <w:left w:val="none" w:sz="0" w:space="0" w:color="auto"/>
        <w:bottom w:val="none" w:sz="0" w:space="0" w:color="auto"/>
        <w:right w:val="none" w:sz="0" w:space="0" w:color="auto"/>
      </w:divBdr>
    </w:div>
    <w:div w:id="77751583">
      <w:bodyDiv w:val="1"/>
      <w:marLeft w:val="0"/>
      <w:marRight w:val="0"/>
      <w:marTop w:val="0"/>
      <w:marBottom w:val="0"/>
      <w:divBdr>
        <w:top w:val="none" w:sz="0" w:space="0" w:color="auto"/>
        <w:left w:val="none" w:sz="0" w:space="0" w:color="auto"/>
        <w:bottom w:val="none" w:sz="0" w:space="0" w:color="auto"/>
        <w:right w:val="none" w:sz="0" w:space="0" w:color="auto"/>
      </w:divBdr>
    </w:div>
    <w:div w:id="369187732">
      <w:bodyDiv w:val="1"/>
      <w:marLeft w:val="0"/>
      <w:marRight w:val="0"/>
      <w:marTop w:val="0"/>
      <w:marBottom w:val="0"/>
      <w:divBdr>
        <w:top w:val="none" w:sz="0" w:space="0" w:color="auto"/>
        <w:left w:val="none" w:sz="0" w:space="0" w:color="auto"/>
        <w:bottom w:val="none" w:sz="0" w:space="0" w:color="auto"/>
        <w:right w:val="none" w:sz="0" w:space="0" w:color="auto"/>
      </w:divBdr>
    </w:div>
    <w:div w:id="370959992">
      <w:bodyDiv w:val="1"/>
      <w:marLeft w:val="0"/>
      <w:marRight w:val="0"/>
      <w:marTop w:val="0"/>
      <w:marBottom w:val="0"/>
      <w:divBdr>
        <w:top w:val="none" w:sz="0" w:space="0" w:color="auto"/>
        <w:left w:val="none" w:sz="0" w:space="0" w:color="auto"/>
        <w:bottom w:val="none" w:sz="0" w:space="0" w:color="auto"/>
        <w:right w:val="none" w:sz="0" w:space="0" w:color="auto"/>
      </w:divBdr>
    </w:div>
    <w:div w:id="403340695">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6468710">
      <w:bodyDiv w:val="1"/>
      <w:marLeft w:val="0"/>
      <w:marRight w:val="0"/>
      <w:marTop w:val="0"/>
      <w:marBottom w:val="0"/>
      <w:divBdr>
        <w:top w:val="none" w:sz="0" w:space="0" w:color="auto"/>
        <w:left w:val="none" w:sz="0" w:space="0" w:color="auto"/>
        <w:bottom w:val="none" w:sz="0" w:space="0" w:color="auto"/>
        <w:right w:val="none" w:sz="0" w:space="0" w:color="auto"/>
      </w:divBdr>
    </w:div>
    <w:div w:id="734471430">
      <w:bodyDiv w:val="1"/>
      <w:marLeft w:val="0"/>
      <w:marRight w:val="0"/>
      <w:marTop w:val="0"/>
      <w:marBottom w:val="0"/>
      <w:divBdr>
        <w:top w:val="none" w:sz="0" w:space="0" w:color="auto"/>
        <w:left w:val="none" w:sz="0" w:space="0" w:color="auto"/>
        <w:bottom w:val="none" w:sz="0" w:space="0" w:color="auto"/>
        <w:right w:val="none" w:sz="0" w:space="0" w:color="auto"/>
      </w:divBdr>
    </w:div>
    <w:div w:id="840583000">
      <w:bodyDiv w:val="1"/>
      <w:marLeft w:val="0"/>
      <w:marRight w:val="0"/>
      <w:marTop w:val="0"/>
      <w:marBottom w:val="0"/>
      <w:divBdr>
        <w:top w:val="none" w:sz="0" w:space="0" w:color="auto"/>
        <w:left w:val="none" w:sz="0" w:space="0" w:color="auto"/>
        <w:bottom w:val="none" w:sz="0" w:space="0" w:color="auto"/>
        <w:right w:val="none" w:sz="0" w:space="0" w:color="auto"/>
      </w:divBdr>
      <w:divsChild>
        <w:div w:id="1470248278">
          <w:marLeft w:val="0"/>
          <w:marRight w:val="0"/>
          <w:marTop w:val="0"/>
          <w:marBottom w:val="0"/>
          <w:divBdr>
            <w:top w:val="none" w:sz="0" w:space="0" w:color="auto"/>
            <w:left w:val="none" w:sz="0" w:space="0" w:color="auto"/>
            <w:bottom w:val="none" w:sz="0" w:space="0" w:color="auto"/>
            <w:right w:val="none" w:sz="0" w:space="0" w:color="auto"/>
          </w:divBdr>
          <w:divsChild>
            <w:div w:id="174818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796532">
      <w:bodyDiv w:val="1"/>
      <w:marLeft w:val="0"/>
      <w:marRight w:val="0"/>
      <w:marTop w:val="0"/>
      <w:marBottom w:val="0"/>
      <w:divBdr>
        <w:top w:val="none" w:sz="0" w:space="0" w:color="auto"/>
        <w:left w:val="none" w:sz="0" w:space="0" w:color="auto"/>
        <w:bottom w:val="none" w:sz="0" w:space="0" w:color="auto"/>
        <w:right w:val="none" w:sz="0" w:space="0" w:color="auto"/>
      </w:divBdr>
    </w:div>
    <w:div w:id="986124555">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413029">
      <w:bodyDiv w:val="1"/>
      <w:marLeft w:val="0"/>
      <w:marRight w:val="0"/>
      <w:marTop w:val="0"/>
      <w:marBottom w:val="0"/>
      <w:divBdr>
        <w:top w:val="none" w:sz="0" w:space="0" w:color="auto"/>
        <w:left w:val="none" w:sz="0" w:space="0" w:color="auto"/>
        <w:bottom w:val="none" w:sz="0" w:space="0" w:color="auto"/>
        <w:right w:val="none" w:sz="0" w:space="0" w:color="auto"/>
      </w:divBdr>
    </w:div>
    <w:div w:id="1510563515">
      <w:bodyDiv w:val="1"/>
      <w:marLeft w:val="0"/>
      <w:marRight w:val="0"/>
      <w:marTop w:val="0"/>
      <w:marBottom w:val="0"/>
      <w:divBdr>
        <w:top w:val="none" w:sz="0" w:space="0" w:color="auto"/>
        <w:left w:val="none" w:sz="0" w:space="0" w:color="auto"/>
        <w:bottom w:val="none" w:sz="0" w:space="0" w:color="auto"/>
        <w:right w:val="none" w:sz="0" w:space="0" w:color="auto"/>
      </w:divBdr>
    </w:div>
    <w:div w:id="1558278383">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214696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pkip.knf.gov.pl/index.html?type=RIP"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archiwum.uokik.gov.pl/download.php?id=193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rf.gov.pl/jak-pomaga-rzecznik-finansowy/porad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inanse.uokik.gov.pl/kalkulator" TargetMode="External"/><Relationship Id="rId5" Type="http://schemas.openxmlformats.org/officeDocument/2006/relationships/settings" Target="settings.xml"/><Relationship Id="rId15" Type="http://schemas.openxmlformats.org/officeDocument/2006/relationships/hyperlink" Target="https://uokik.gov.pl/pomoc.php" TargetMode="External"/><Relationship Id="rId10" Type="http://schemas.openxmlformats.org/officeDocument/2006/relationships/hyperlink" Target="https://www.knf.gov.pl/dla_konsumenta/ostrzezenia_publiczne"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archiwum.uokik.gov.pl/aktualnosci.php?news_id=15765" TargetMode="External"/><Relationship Id="rId14" Type="http://schemas.openxmlformats.org/officeDocument/2006/relationships/hyperlink" Target="https://poradydlakonsumentow.pl/"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4019C-D10D-4AE9-B8C4-9BAD0BDBF44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BBACF0E-2FC2-4649-B1A2-85E676D2F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889</Words>
  <Characters>5335</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5</cp:revision>
  <cp:lastPrinted>2024-06-06T12:14:00Z</cp:lastPrinted>
  <dcterms:created xsi:type="dcterms:W3CDTF">2024-07-12T13:22:00Z</dcterms:created>
  <dcterms:modified xsi:type="dcterms:W3CDTF">2024-07-25T06:16:00Z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0d9a7fc5-d615-410c-96c2-1739a57e6df2</vt:lpwstr>
  </property>
  <property fmtid="{D5CDD505-2E9C-101B-9397-08002B2CF9AE}" pid="3" name="bjSaver">
    <vt:lpwstr>EdTe/sjob9V76AZtH11DVetpymuTPYyX</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6" name="bjDocumentLabelXML-0">
    <vt:lpwstr>ames.com/2008/01/sie/internal/label"&gt;&lt;element uid="89790441-96e2-477c-afd4-1e96c2fd8935" value="" /&gt;&lt;/sisl&gt;</vt:lpwstr>
  </property>
  <property fmtid="{D5CDD505-2E9C-101B-9397-08002B2CF9AE}" pid="7" name="bjDocumentSecurityLabel">
    <vt:lpwstr>JAWNE</vt:lpwstr>
  </property>
</Properties>
</file>