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0D92" w14:textId="2F9C4EC2" w:rsidR="00F019E5" w:rsidRPr="00AC7B00" w:rsidRDefault="008455C7" w:rsidP="003526EA">
      <w:pPr>
        <w:spacing w:after="240"/>
        <w:jc w:val="both"/>
        <w:rPr>
          <w:sz w:val="32"/>
          <w:szCs w:val="32"/>
          <w:lang w:val="en-GB"/>
        </w:rPr>
      </w:pPr>
      <w:r w:rsidRPr="00AC7B00">
        <w:rPr>
          <w:sz w:val="32"/>
          <w:szCs w:val="32"/>
          <w:lang w:val="en-GB"/>
        </w:rPr>
        <w:t>Another CJEU ruling on remuneration for use of capital and consumer rights</w:t>
      </w:r>
    </w:p>
    <w:p w14:paraId="28967800" w14:textId="40416003" w:rsidR="00F019E5" w:rsidRPr="00AC7B00" w:rsidRDefault="00F019E5" w:rsidP="003526EA">
      <w:pPr>
        <w:pStyle w:val="Akapitzlist"/>
        <w:numPr>
          <w:ilvl w:val="0"/>
          <w:numId w:val="18"/>
        </w:numPr>
        <w:spacing w:after="240" w:line="360" w:lineRule="auto"/>
        <w:jc w:val="both"/>
        <w:rPr>
          <w:rStyle w:val="Pogrubienie"/>
          <w:rFonts w:cs="Tahoma"/>
          <w:color w:val="000000"/>
          <w:sz w:val="22"/>
          <w:shd w:val="clear" w:color="auto" w:fill="FFFFFF"/>
          <w:lang w:val="en-GB"/>
        </w:rPr>
      </w:pPr>
      <w:r w:rsidRPr="00AC7B00">
        <w:rPr>
          <w:rStyle w:val="Pogrubienie"/>
          <w:rFonts w:cs="Tahoma"/>
          <w:color w:val="000000"/>
          <w:sz w:val="22"/>
          <w:shd w:val="clear" w:color="auto" w:fill="FFFFFF"/>
          <w:lang w:val="en-GB"/>
        </w:rPr>
        <w:t>The CJEU has ruled today that a national court cannot condition the exercise of a consumer</w:t>
      </w:r>
      <w:r w:rsidR="00AC7B00">
        <w:rPr>
          <w:rStyle w:val="Pogrubienie"/>
          <w:rFonts w:cs="Tahoma"/>
          <w:color w:val="000000"/>
          <w:sz w:val="22"/>
          <w:shd w:val="clear" w:color="auto" w:fill="FFFFFF"/>
          <w:lang w:val="en-GB"/>
        </w:rPr>
        <w:t>’</w:t>
      </w:r>
      <w:r w:rsidRPr="00AC7B00">
        <w:rPr>
          <w:rStyle w:val="Pogrubienie"/>
          <w:rFonts w:cs="Tahoma"/>
          <w:color w:val="000000"/>
          <w:sz w:val="22"/>
          <w:shd w:val="clear" w:color="auto" w:fill="FFFFFF"/>
          <w:lang w:val="en-GB"/>
        </w:rPr>
        <w:t>s rights on the consumer</w:t>
      </w:r>
      <w:r w:rsidR="00AC7B00">
        <w:rPr>
          <w:rStyle w:val="Pogrubienie"/>
          <w:rFonts w:cs="Tahoma"/>
          <w:color w:val="000000"/>
          <w:sz w:val="22"/>
          <w:shd w:val="clear" w:color="auto" w:fill="FFFFFF"/>
          <w:lang w:val="en-GB"/>
        </w:rPr>
        <w:t>’</w:t>
      </w:r>
      <w:r w:rsidRPr="00AC7B00">
        <w:rPr>
          <w:rStyle w:val="Pogrubienie"/>
          <w:rFonts w:cs="Tahoma"/>
          <w:color w:val="000000"/>
          <w:sz w:val="22"/>
          <w:shd w:val="clear" w:color="auto" w:fill="FFFFFF"/>
          <w:lang w:val="en-GB"/>
        </w:rPr>
        <w:t xml:space="preserve">s declaration that he or she does not want to be bound by an unfair condition. </w:t>
      </w:r>
    </w:p>
    <w:p w14:paraId="52826585" w14:textId="0ACE1BA5" w:rsidR="00F019E5" w:rsidRPr="00AC7B00" w:rsidRDefault="00F019E5" w:rsidP="00F019E5">
      <w:pPr>
        <w:pStyle w:val="Akapitzlist"/>
        <w:numPr>
          <w:ilvl w:val="0"/>
          <w:numId w:val="18"/>
        </w:numPr>
        <w:spacing w:after="240" w:line="360" w:lineRule="auto"/>
        <w:jc w:val="both"/>
        <w:rPr>
          <w:rStyle w:val="Pogrubienie"/>
          <w:rFonts w:cs="Tahoma"/>
          <w:color w:val="000000"/>
          <w:sz w:val="22"/>
          <w:shd w:val="clear" w:color="auto" w:fill="FFFFFF"/>
          <w:lang w:val="en-GB"/>
        </w:rPr>
      </w:pPr>
      <w:r w:rsidRPr="00AC7B00">
        <w:rPr>
          <w:rStyle w:val="Pogrubienie"/>
          <w:rFonts w:cs="Tahoma"/>
          <w:color w:val="000000"/>
          <w:sz w:val="22"/>
          <w:shd w:val="clear" w:color="auto" w:fill="FFFFFF"/>
          <w:lang w:val="en-GB"/>
        </w:rPr>
        <w:t>A consumer</w:t>
      </w:r>
      <w:r w:rsidR="00AC7B00">
        <w:rPr>
          <w:rStyle w:val="Pogrubienie"/>
          <w:rFonts w:cs="Tahoma"/>
          <w:color w:val="000000"/>
          <w:sz w:val="22"/>
          <w:shd w:val="clear" w:color="auto" w:fill="FFFFFF"/>
          <w:lang w:val="en-GB"/>
        </w:rPr>
        <w:t>’</w:t>
      </w:r>
      <w:r w:rsidRPr="00AC7B00">
        <w:rPr>
          <w:rStyle w:val="Pogrubienie"/>
          <w:rFonts w:cs="Tahoma"/>
          <w:color w:val="000000"/>
          <w:sz w:val="22"/>
          <w:shd w:val="clear" w:color="auto" w:fill="FFFFFF"/>
          <w:lang w:val="en-GB"/>
        </w:rPr>
        <w:t>s claim for reimbursement of the benefits they have provided under an invalid loan agreement cannot be reduced by the equivalent of the capital interest that the bank would have been entitled to if the loan agreement had been valid.</w:t>
      </w:r>
    </w:p>
    <w:p w14:paraId="6F7D8225" w14:textId="5904B870" w:rsidR="00F019E5" w:rsidRPr="00AC7B00" w:rsidRDefault="00F019E5" w:rsidP="00F019E5">
      <w:pPr>
        <w:spacing w:after="240" w:line="360" w:lineRule="auto"/>
        <w:jc w:val="both"/>
        <w:rPr>
          <w:rStyle w:val="Pogrubienie"/>
          <w:rFonts w:cs="Tahoma"/>
          <w:b w:val="0"/>
          <w:color w:val="000000"/>
          <w:sz w:val="22"/>
          <w:shd w:val="clear" w:color="auto" w:fill="FFFFFF"/>
          <w:lang w:val="en-GB"/>
        </w:rPr>
      </w:pPr>
      <w:r w:rsidRPr="00AC7B00">
        <w:rPr>
          <w:rStyle w:val="Pogrubienie"/>
          <w:rFonts w:cs="Tahoma"/>
          <w:color w:val="000000"/>
          <w:sz w:val="22"/>
          <w:shd w:val="clear" w:color="auto" w:fill="FFFFFF"/>
          <w:lang w:val="en-GB"/>
        </w:rPr>
        <w:t xml:space="preserve">[Warsaw, 7 </w:t>
      </w:r>
      <w:r w:rsidR="00AC7B00">
        <w:rPr>
          <w:rStyle w:val="Pogrubienie"/>
          <w:rFonts w:cs="Tahoma"/>
          <w:color w:val="000000"/>
          <w:sz w:val="22"/>
          <w:shd w:val="clear" w:color="auto" w:fill="FFFFFF"/>
          <w:lang w:val="en-GB"/>
        </w:rPr>
        <w:t xml:space="preserve">December </w:t>
      </w:r>
      <w:r w:rsidRPr="00AC7B00">
        <w:rPr>
          <w:rStyle w:val="Pogrubienie"/>
          <w:rFonts w:cs="Tahoma"/>
          <w:color w:val="000000"/>
          <w:sz w:val="22"/>
          <w:shd w:val="clear" w:color="auto" w:fill="FFFFFF"/>
          <w:lang w:val="en-GB"/>
        </w:rPr>
        <w:t>2023]</w:t>
      </w:r>
      <w:r w:rsidRPr="00AC7B00">
        <w:rPr>
          <w:rStyle w:val="Pogrubienie"/>
          <w:rFonts w:cs="Tahoma"/>
          <w:b w:val="0"/>
          <w:bCs w:val="0"/>
          <w:color w:val="000000"/>
          <w:sz w:val="22"/>
          <w:shd w:val="clear" w:color="auto" w:fill="FFFFFF"/>
          <w:lang w:val="en-GB"/>
        </w:rPr>
        <w:t xml:space="preserve"> On the list of cases of the Court of Justice of the European Union, the motion in the next Polish case no. </w:t>
      </w:r>
      <w:r w:rsidRPr="00AC7B00">
        <w:rPr>
          <w:rStyle w:val="Pogrubienie"/>
          <w:rFonts w:cs="Tahoma"/>
          <w:b w:val="0"/>
          <w:bCs w:val="0"/>
          <w:color w:val="000000"/>
          <w:sz w:val="22"/>
          <w:lang w:val="en-GB"/>
        </w:rPr>
        <w:t>TSUE C-140/22</w:t>
      </w:r>
      <w:r w:rsidRPr="00AC7B00">
        <w:rPr>
          <w:rStyle w:val="Pogrubienie"/>
          <w:rFonts w:cs="Tahoma"/>
          <w:b w:val="0"/>
          <w:bCs w:val="0"/>
          <w:color w:val="000000"/>
          <w:sz w:val="22"/>
          <w:shd w:val="clear" w:color="auto" w:fill="FFFFFF"/>
          <w:lang w:val="en-GB"/>
        </w:rPr>
        <w:t xml:space="preserve"> for issuance of a judg</w:t>
      </w:r>
      <w:r w:rsidR="00AC7B00" w:rsidRPr="00AC7B00">
        <w:rPr>
          <w:rStyle w:val="Pogrubienie"/>
          <w:rFonts w:cs="Tahoma"/>
          <w:b w:val="0"/>
          <w:bCs w:val="0"/>
          <w:color w:val="000000"/>
          <w:sz w:val="22"/>
          <w:shd w:val="clear" w:color="auto" w:fill="FFFFFF"/>
          <w:lang w:val="en-GB"/>
        </w:rPr>
        <w:t>e</w:t>
      </w:r>
      <w:r w:rsidRPr="00AC7B00">
        <w:rPr>
          <w:rStyle w:val="Pogrubienie"/>
          <w:rFonts w:cs="Tahoma"/>
          <w:b w:val="0"/>
          <w:bCs w:val="0"/>
          <w:color w:val="000000"/>
          <w:sz w:val="22"/>
          <w:shd w:val="clear" w:color="auto" w:fill="FFFFFF"/>
          <w:lang w:val="en-GB"/>
        </w:rPr>
        <w:t xml:space="preserve">ment under the preliminary mode in connection with the question posed by the District Court for Warsaw-Śródmieście has been heard today. The court asked the CJEU to resolve questions that arose in connection with the Resolution of the Supreme Court of 7 May 2021 (file number: III CZP 6/21). By way of justification for this Resolution, the Supreme Court pointed out that the effects of invalidity of a contract would run from the moment the customer made a statement that they did not agree to uphold the unfair condition, they were aware of the consequences of the invalidity of the agreement and agreed to the invalidity of the agreement. </w:t>
      </w:r>
    </w:p>
    <w:p w14:paraId="3CF6B5AF" w14:textId="2B266BC2" w:rsidR="00F019E5" w:rsidRPr="00AC7B00" w:rsidRDefault="00F019E5" w:rsidP="00F019E5">
      <w:pPr>
        <w:spacing w:after="240" w:line="360" w:lineRule="auto"/>
        <w:jc w:val="both"/>
        <w:rPr>
          <w:rStyle w:val="Pogrubienie"/>
          <w:rFonts w:cs="Tahoma"/>
          <w:b w:val="0"/>
          <w:color w:val="000000"/>
          <w:sz w:val="22"/>
          <w:shd w:val="clear" w:color="auto" w:fill="FFFFFF"/>
          <w:lang w:val="en-GB"/>
        </w:rPr>
      </w:pPr>
      <w:r w:rsidRPr="00AC7B00">
        <w:rPr>
          <w:rStyle w:val="Pogrubienie"/>
          <w:rFonts w:cs="Tahoma"/>
          <w:b w:val="0"/>
          <w:bCs w:val="0"/>
          <w:color w:val="000000"/>
          <w:sz w:val="22"/>
          <w:shd w:val="clear" w:color="auto" w:fill="FFFFFF"/>
          <w:lang w:val="en-GB"/>
        </w:rPr>
        <w:t xml:space="preserve">Therefore, the </w:t>
      </w:r>
      <w:r w:rsidR="00076B21" w:rsidRPr="00AC7B00">
        <w:rPr>
          <w:rStyle w:val="Pogrubienie"/>
          <w:rFonts w:cs="Tahoma"/>
          <w:b w:val="0"/>
          <w:bCs w:val="0"/>
          <w:color w:val="000000"/>
          <w:sz w:val="22"/>
          <w:shd w:val="clear" w:color="auto" w:fill="FFFFFF"/>
          <w:lang w:val="en-GB"/>
        </w:rPr>
        <w:t>District Court for Warsaw-Śródmieście</w:t>
      </w:r>
      <w:r w:rsidRPr="00AC7B00">
        <w:rPr>
          <w:rStyle w:val="Pogrubienie"/>
          <w:rFonts w:cs="Tahoma"/>
          <w:b w:val="0"/>
          <w:bCs w:val="0"/>
          <w:color w:val="000000"/>
          <w:sz w:val="22"/>
          <w:shd w:val="clear" w:color="auto" w:fill="FFFFFF"/>
          <w:lang w:val="en-GB"/>
        </w:rPr>
        <w:t xml:space="preserve"> asked the CJEU to resolve four issues: </w:t>
      </w:r>
    </w:p>
    <w:p w14:paraId="5FA4D84F" w14:textId="77777777" w:rsidR="00F019E5" w:rsidRPr="00AC7B00" w:rsidRDefault="00F019E5" w:rsidP="00F019E5">
      <w:pPr>
        <w:pStyle w:val="Akapitzlist"/>
        <w:numPr>
          <w:ilvl w:val="0"/>
          <w:numId w:val="21"/>
        </w:numPr>
        <w:spacing w:after="240" w:line="360" w:lineRule="auto"/>
        <w:jc w:val="both"/>
        <w:rPr>
          <w:rStyle w:val="Pogrubienie"/>
          <w:rFonts w:cs="Tahoma"/>
          <w:b w:val="0"/>
          <w:color w:val="000000"/>
          <w:sz w:val="22"/>
          <w:shd w:val="clear" w:color="auto" w:fill="FFFFFF"/>
          <w:lang w:val="en-GB"/>
        </w:rPr>
      </w:pPr>
      <w:r w:rsidRPr="00AC7B00">
        <w:rPr>
          <w:rStyle w:val="Pogrubienie"/>
          <w:rFonts w:cs="Tahoma"/>
          <w:b w:val="0"/>
          <w:bCs w:val="0"/>
          <w:color w:val="000000"/>
          <w:sz w:val="22"/>
          <w:shd w:val="clear" w:color="auto" w:fill="FFFFFF"/>
          <w:lang w:val="en-GB"/>
        </w:rPr>
        <w:t>whether the agreement becomes permanently ineffective (invalid) retroactively only after the consumer declares that they do not agree to uphold the unfair condition,</w:t>
      </w:r>
    </w:p>
    <w:p w14:paraId="520B3174" w14:textId="52B34829" w:rsidR="00F019E5" w:rsidRPr="00AC7B00" w:rsidRDefault="00F019E5" w:rsidP="00F019E5">
      <w:pPr>
        <w:pStyle w:val="Akapitzlist"/>
        <w:numPr>
          <w:ilvl w:val="0"/>
          <w:numId w:val="21"/>
        </w:numPr>
        <w:spacing w:after="240" w:line="360" w:lineRule="auto"/>
        <w:jc w:val="both"/>
        <w:rPr>
          <w:rStyle w:val="Pogrubienie"/>
          <w:rFonts w:cs="Tahoma"/>
          <w:b w:val="0"/>
          <w:color w:val="000000"/>
          <w:sz w:val="22"/>
          <w:shd w:val="clear" w:color="auto" w:fill="FFFFFF"/>
          <w:lang w:val="en-GB"/>
        </w:rPr>
      </w:pPr>
      <w:r w:rsidRPr="00AC7B00">
        <w:rPr>
          <w:rStyle w:val="Pogrubienie"/>
          <w:rFonts w:cs="Tahoma"/>
          <w:b w:val="0"/>
          <w:bCs w:val="0"/>
          <w:color w:val="000000"/>
          <w:sz w:val="22"/>
          <w:shd w:val="clear" w:color="auto" w:fill="FFFFFF"/>
          <w:lang w:val="en-GB"/>
        </w:rPr>
        <w:t>whether, as a consequence, the statute of limitations for the bank</w:t>
      </w:r>
      <w:r w:rsidR="00AC7B00">
        <w:rPr>
          <w:rStyle w:val="Pogrubienie"/>
          <w:rFonts w:cs="Tahoma"/>
          <w:b w:val="0"/>
          <w:bCs w:val="0"/>
          <w:color w:val="000000"/>
          <w:sz w:val="22"/>
          <w:shd w:val="clear" w:color="auto" w:fill="FFFFFF"/>
          <w:lang w:val="en-GB"/>
        </w:rPr>
        <w:t>’</w:t>
      </w:r>
      <w:r w:rsidRPr="00AC7B00">
        <w:rPr>
          <w:rStyle w:val="Pogrubienie"/>
          <w:rFonts w:cs="Tahoma"/>
          <w:b w:val="0"/>
          <w:bCs w:val="0"/>
          <w:color w:val="000000"/>
          <w:sz w:val="22"/>
          <w:shd w:val="clear" w:color="auto" w:fill="FFFFFF"/>
          <w:lang w:val="en-GB"/>
        </w:rPr>
        <w:t>s</w:t>
      </w:r>
      <w:r w:rsidRPr="00AC7B00">
        <w:rPr>
          <w:rStyle w:val="Pogrubienie"/>
          <w:rFonts w:cs="Tahoma"/>
          <w:color w:val="000000"/>
          <w:sz w:val="22"/>
          <w:shd w:val="clear" w:color="auto" w:fill="FFFFFF"/>
          <w:lang w:val="en-GB"/>
        </w:rPr>
        <w:t xml:space="preserve"> </w:t>
      </w:r>
      <w:r w:rsidRPr="00AC7B00">
        <w:rPr>
          <w:rStyle w:val="Pogrubienie"/>
          <w:rFonts w:cs="Tahoma"/>
          <w:b w:val="0"/>
          <w:bCs w:val="0"/>
          <w:color w:val="000000"/>
          <w:sz w:val="22"/>
          <w:shd w:val="clear" w:color="auto" w:fill="FFFFFF"/>
          <w:lang w:val="en-GB"/>
        </w:rPr>
        <w:t xml:space="preserve">claim begins only from the date on which the consumer has made such a statement, </w:t>
      </w:r>
    </w:p>
    <w:p w14:paraId="1275186B" w14:textId="10EA19D4" w:rsidR="00F019E5" w:rsidRPr="00AC7B00" w:rsidRDefault="00F019E5" w:rsidP="00F019E5">
      <w:pPr>
        <w:pStyle w:val="Akapitzlist"/>
        <w:numPr>
          <w:ilvl w:val="0"/>
          <w:numId w:val="21"/>
        </w:numPr>
        <w:spacing w:after="240" w:line="360" w:lineRule="auto"/>
        <w:jc w:val="both"/>
        <w:rPr>
          <w:rStyle w:val="Pogrubienie"/>
          <w:rFonts w:cs="Tahoma"/>
          <w:b w:val="0"/>
          <w:color w:val="000000"/>
          <w:sz w:val="22"/>
          <w:shd w:val="clear" w:color="auto" w:fill="FFFFFF"/>
          <w:lang w:val="en-GB"/>
        </w:rPr>
      </w:pPr>
      <w:r w:rsidRPr="00AC7B00">
        <w:rPr>
          <w:rStyle w:val="Pogrubienie"/>
          <w:rFonts w:cs="Tahoma"/>
          <w:b w:val="0"/>
          <w:bCs w:val="0"/>
          <w:color w:val="000000"/>
          <w:sz w:val="22"/>
          <w:shd w:val="clear" w:color="auto" w:fill="FFFFFF"/>
          <w:lang w:val="en-GB"/>
        </w:rPr>
        <w:t xml:space="preserve">whether the consumer can demand payment of statutory interest for the delay only from the date on which they have made the above-mentioned statement, even if they had previously called the entrepreneur for payment, </w:t>
      </w:r>
    </w:p>
    <w:p w14:paraId="31367C37" w14:textId="46CC67CC" w:rsidR="00F019E5" w:rsidRPr="00AC7B00" w:rsidRDefault="00F019E5" w:rsidP="00F019E5">
      <w:pPr>
        <w:pStyle w:val="Akapitzlist"/>
        <w:numPr>
          <w:ilvl w:val="0"/>
          <w:numId w:val="21"/>
        </w:numPr>
        <w:spacing w:after="240" w:line="360" w:lineRule="auto"/>
        <w:jc w:val="both"/>
        <w:rPr>
          <w:rStyle w:val="Pogrubienie"/>
          <w:rFonts w:cs="Tahoma"/>
          <w:b w:val="0"/>
          <w:color w:val="000000"/>
          <w:sz w:val="22"/>
          <w:shd w:val="clear" w:color="auto" w:fill="FFFFFF"/>
          <w:lang w:val="en-GB"/>
        </w:rPr>
      </w:pPr>
      <w:r w:rsidRPr="00AC7B00">
        <w:rPr>
          <w:rStyle w:val="Pogrubienie"/>
          <w:rFonts w:cs="Tahoma"/>
          <w:b w:val="0"/>
          <w:bCs w:val="0"/>
          <w:color w:val="000000"/>
          <w:sz w:val="22"/>
          <w:shd w:val="clear" w:color="auto" w:fill="FFFFFF"/>
          <w:lang w:val="en-GB"/>
        </w:rPr>
        <w:t>whether the consumer</w:t>
      </w:r>
      <w:r w:rsidR="00AC7B00">
        <w:rPr>
          <w:rStyle w:val="Pogrubienie"/>
          <w:rFonts w:cs="Tahoma"/>
          <w:b w:val="0"/>
          <w:bCs w:val="0"/>
          <w:color w:val="000000"/>
          <w:sz w:val="22"/>
          <w:shd w:val="clear" w:color="auto" w:fill="FFFFFF"/>
          <w:lang w:val="en-GB"/>
        </w:rPr>
        <w:t>’</w:t>
      </w:r>
      <w:r w:rsidRPr="00AC7B00">
        <w:rPr>
          <w:rStyle w:val="Pogrubienie"/>
          <w:rFonts w:cs="Tahoma"/>
          <w:b w:val="0"/>
          <w:bCs w:val="0"/>
          <w:color w:val="000000"/>
          <w:sz w:val="22"/>
          <w:shd w:val="clear" w:color="auto" w:fill="FFFFFF"/>
          <w:lang w:val="en-GB"/>
        </w:rPr>
        <w:t xml:space="preserve">s claim for reimbursement of the benefits they have provided under an invalid loan agreement (loan </w:t>
      </w:r>
      <w:r w:rsidR="00AC7B00" w:rsidRPr="00AC7B00">
        <w:rPr>
          <w:rStyle w:val="Pogrubienie"/>
          <w:rFonts w:cs="Tahoma"/>
          <w:b w:val="0"/>
          <w:bCs w:val="0"/>
          <w:color w:val="000000"/>
          <w:sz w:val="22"/>
          <w:shd w:val="clear" w:color="auto" w:fill="FFFFFF"/>
          <w:lang w:val="en-GB"/>
        </w:rPr>
        <w:t>instalments</w:t>
      </w:r>
      <w:r w:rsidRPr="00AC7B00">
        <w:rPr>
          <w:rStyle w:val="Pogrubienie"/>
          <w:rFonts w:cs="Tahoma"/>
          <w:b w:val="0"/>
          <w:bCs w:val="0"/>
          <w:color w:val="000000"/>
          <w:sz w:val="22"/>
          <w:shd w:val="clear" w:color="auto" w:fill="FFFFFF"/>
          <w:lang w:val="en-GB"/>
        </w:rPr>
        <w:t xml:space="preserve">, fees, commissions and insurance premiums) should be reduced by the equivalent of the capital interest that the bank </w:t>
      </w:r>
      <w:r w:rsidRPr="00AC7B00">
        <w:rPr>
          <w:rStyle w:val="Pogrubienie"/>
          <w:rFonts w:cs="Tahoma"/>
          <w:b w:val="0"/>
          <w:bCs w:val="0"/>
          <w:color w:val="000000"/>
          <w:sz w:val="22"/>
          <w:shd w:val="clear" w:color="auto" w:fill="FFFFFF"/>
          <w:lang w:val="en-GB"/>
        </w:rPr>
        <w:lastRenderedPageBreak/>
        <w:t>would have been entitled to if the loan agreement had been valid while the bank can claim reimbursement of the benefit it has provided under the same invalid loan agreement (loan principal) in full.</w:t>
      </w:r>
    </w:p>
    <w:p w14:paraId="12481E6E" w14:textId="676543B1" w:rsidR="00F019E5" w:rsidRPr="00AC7B00" w:rsidRDefault="00F019E5" w:rsidP="00F019E5">
      <w:pPr>
        <w:spacing w:after="240" w:line="360" w:lineRule="auto"/>
        <w:jc w:val="both"/>
        <w:rPr>
          <w:rStyle w:val="Pogrubienie"/>
          <w:rFonts w:cs="Tahoma"/>
          <w:color w:val="000000"/>
          <w:sz w:val="22"/>
          <w:shd w:val="clear" w:color="auto" w:fill="FFFFFF"/>
          <w:lang w:val="en-GB"/>
        </w:rPr>
      </w:pPr>
      <w:r w:rsidRPr="00AC7B00">
        <w:rPr>
          <w:rStyle w:val="Pogrubienie"/>
          <w:rFonts w:cs="Tahoma"/>
          <w:color w:val="000000"/>
          <w:sz w:val="22"/>
          <w:shd w:val="clear" w:color="auto" w:fill="FFFFFF"/>
          <w:lang w:val="en-GB"/>
        </w:rPr>
        <w:t>Consumer statement vs exercise of consumer rights</w:t>
      </w:r>
    </w:p>
    <w:p w14:paraId="73C40A45" w14:textId="070AE7AF" w:rsidR="00F019E5" w:rsidRPr="00AC7B00" w:rsidRDefault="00F019E5" w:rsidP="00F019E5">
      <w:pPr>
        <w:spacing w:after="240" w:line="360" w:lineRule="auto"/>
        <w:jc w:val="both"/>
        <w:rPr>
          <w:rStyle w:val="Pogrubienie"/>
          <w:rFonts w:cs="Tahoma"/>
          <w:b w:val="0"/>
          <w:color w:val="000000"/>
          <w:sz w:val="22"/>
          <w:shd w:val="clear" w:color="auto" w:fill="FFFFFF"/>
          <w:lang w:val="en-GB"/>
        </w:rPr>
      </w:pPr>
      <w:r w:rsidRPr="00AC7B00">
        <w:rPr>
          <w:rStyle w:val="Pogrubienie"/>
          <w:rFonts w:cs="Tahoma"/>
          <w:b w:val="0"/>
          <w:bCs w:val="0"/>
          <w:color w:val="000000"/>
          <w:sz w:val="22"/>
          <w:shd w:val="clear" w:color="auto" w:fill="FFFFFF"/>
          <w:lang w:val="en-GB"/>
        </w:rPr>
        <w:t>In its judg</w:t>
      </w:r>
      <w:r w:rsidR="00AC7B00" w:rsidRPr="00AC7B00">
        <w:rPr>
          <w:rStyle w:val="Pogrubienie"/>
          <w:rFonts w:cs="Tahoma"/>
          <w:b w:val="0"/>
          <w:bCs w:val="0"/>
          <w:color w:val="000000"/>
          <w:sz w:val="22"/>
          <w:shd w:val="clear" w:color="auto" w:fill="FFFFFF"/>
          <w:lang w:val="en-GB"/>
        </w:rPr>
        <w:t>e</w:t>
      </w:r>
      <w:r w:rsidRPr="00AC7B00">
        <w:rPr>
          <w:rStyle w:val="Pogrubienie"/>
          <w:rFonts w:cs="Tahoma"/>
          <w:b w:val="0"/>
          <w:bCs w:val="0"/>
          <w:color w:val="000000"/>
          <w:sz w:val="22"/>
          <w:shd w:val="clear" w:color="auto" w:fill="FFFFFF"/>
          <w:lang w:val="en-GB"/>
        </w:rPr>
        <w:t xml:space="preserve">ment, the CJEU stressed that prohibited provisions did not bind the consumer from the beginning, by operation of law. If a national court determines the unfair nature of a contractual condition, it is obligated to refrain from applying it and an exception to this obligation is provided only if the consumer, having been informed by this court, does not intend to invoke the unfair and non-binding nature of the condition, thus expressing voluntary and informed consent to the condition in question. </w:t>
      </w:r>
    </w:p>
    <w:p w14:paraId="2084EE92" w14:textId="3500A7A2" w:rsidR="00464D8C" w:rsidRPr="00AC7B00" w:rsidRDefault="00F019E5" w:rsidP="00464D8C">
      <w:pPr>
        <w:spacing w:after="240" w:line="360" w:lineRule="auto"/>
        <w:jc w:val="both"/>
        <w:rPr>
          <w:rStyle w:val="Pogrubienie"/>
          <w:rFonts w:cs="Tahoma"/>
          <w:b w:val="0"/>
          <w:color w:val="000000"/>
          <w:sz w:val="22"/>
          <w:shd w:val="clear" w:color="auto" w:fill="FFFFFF"/>
          <w:lang w:val="en-GB"/>
        </w:rPr>
      </w:pPr>
      <w:r w:rsidRPr="00AC7B00">
        <w:rPr>
          <w:rStyle w:val="Pogrubienie"/>
          <w:rFonts w:cs="Tahoma"/>
          <w:b w:val="0"/>
          <w:bCs w:val="0"/>
          <w:color w:val="000000"/>
          <w:sz w:val="22"/>
          <w:shd w:val="clear" w:color="auto" w:fill="FFFFFF"/>
          <w:lang w:val="en-GB"/>
        </w:rPr>
        <w:t>The consumer</w:t>
      </w:r>
      <w:r w:rsidR="00AC7B00">
        <w:rPr>
          <w:rStyle w:val="Pogrubienie"/>
          <w:rFonts w:cs="Tahoma"/>
          <w:b w:val="0"/>
          <w:bCs w:val="0"/>
          <w:color w:val="000000"/>
          <w:sz w:val="22"/>
          <w:shd w:val="clear" w:color="auto" w:fill="FFFFFF"/>
          <w:lang w:val="en-GB"/>
        </w:rPr>
        <w:t>’</w:t>
      </w:r>
      <w:r w:rsidRPr="00AC7B00">
        <w:rPr>
          <w:rStyle w:val="Pogrubienie"/>
          <w:rFonts w:cs="Tahoma"/>
          <w:b w:val="0"/>
          <w:bCs w:val="0"/>
          <w:color w:val="000000"/>
          <w:sz w:val="22"/>
          <w:shd w:val="clear" w:color="auto" w:fill="FFFFFF"/>
          <w:lang w:val="en-GB"/>
        </w:rPr>
        <w:t>s statement is therefore not an acquiescence to being subject to the protection of Directive 93/13 due to the trader</w:t>
      </w:r>
      <w:r w:rsidR="00AC7B00">
        <w:rPr>
          <w:rStyle w:val="Pogrubienie"/>
          <w:rFonts w:cs="Tahoma"/>
          <w:b w:val="0"/>
          <w:bCs w:val="0"/>
          <w:color w:val="000000"/>
          <w:sz w:val="22"/>
          <w:shd w:val="clear" w:color="auto" w:fill="FFFFFF"/>
          <w:lang w:val="en-GB"/>
        </w:rPr>
        <w:t>’</w:t>
      </w:r>
      <w:r w:rsidRPr="00AC7B00">
        <w:rPr>
          <w:rStyle w:val="Pogrubienie"/>
          <w:rFonts w:cs="Tahoma"/>
          <w:b w:val="0"/>
          <w:bCs w:val="0"/>
          <w:color w:val="000000"/>
          <w:sz w:val="22"/>
          <w:shd w:val="clear" w:color="auto" w:fill="FFFFFF"/>
          <w:lang w:val="en-GB"/>
        </w:rPr>
        <w:t>s use of prohibited contract terms but is an acquiescence to the application of an exception to this protection by treating an unfair contractual term as binding on the consumer at the consumer</w:t>
      </w:r>
      <w:r w:rsidR="00AC7B00">
        <w:rPr>
          <w:rStyle w:val="Pogrubienie"/>
          <w:rFonts w:cs="Tahoma"/>
          <w:b w:val="0"/>
          <w:bCs w:val="0"/>
          <w:color w:val="000000"/>
          <w:sz w:val="22"/>
          <w:shd w:val="clear" w:color="auto" w:fill="FFFFFF"/>
          <w:lang w:val="en-GB"/>
        </w:rPr>
        <w:t>’</w:t>
      </w:r>
      <w:r w:rsidRPr="00AC7B00">
        <w:rPr>
          <w:rStyle w:val="Pogrubienie"/>
          <w:rFonts w:cs="Tahoma"/>
          <w:b w:val="0"/>
          <w:bCs w:val="0"/>
          <w:color w:val="000000"/>
          <w:sz w:val="22"/>
          <w:shd w:val="clear" w:color="auto" w:fill="FFFFFF"/>
          <w:lang w:val="en-GB"/>
        </w:rPr>
        <w:t>s express request. If, after the court has received the relevant explanations, the consumer does not object to declaring the agreement invalid as a result of the unfair terms contained in it, the court should treat such an agreement as if it were invalid from the beginning. Thus, the CJEU once again held that a court should remove an unfair contractual term acting ex officio and that the exercise of the consumer</w:t>
      </w:r>
      <w:r w:rsidR="00AC7B00">
        <w:rPr>
          <w:rStyle w:val="Pogrubienie"/>
          <w:rFonts w:cs="Tahoma"/>
          <w:b w:val="0"/>
          <w:bCs w:val="0"/>
          <w:color w:val="000000"/>
          <w:sz w:val="22"/>
          <w:shd w:val="clear" w:color="auto" w:fill="FFFFFF"/>
          <w:lang w:val="en-GB"/>
        </w:rPr>
        <w:t>’</w:t>
      </w:r>
      <w:r w:rsidRPr="00AC7B00">
        <w:rPr>
          <w:rStyle w:val="Pogrubienie"/>
          <w:rFonts w:cs="Tahoma"/>
          <w:b w:val="0"/>
          <w:bCs w:val="0"/>
          <w:color w:val="000000"/>
          <w:sz w:val="22"/>
          <w:shd w:val="clear" w:color="auto" w:fill="FFFFFF"/>
          <w:lang w:val="en-GB"/>
        </w:rPr>
        <w:t xml:space="preserve">s rights is not dependent on the consumer making a statement that they want to exercise them. </w:t>
      </w:r>
    </w:p>
    <w:p w14:paraId="42CAEEA1" w14:textId="6DE41831" w:rsidR="00F019E5" w:rsidRPr="00AC7B00" w:rsidRDefault="00464D8C" w:rsidP="00F019E5">
      <w:pPr>
        <w:spacing w:after="240" w:line="360" w:lineRule="auto"/>
        <w:jc w:val="both"/>
        <w:rPr>
          <w:rStyle w:val="Pogrubienie"/>
          <w:rFonts w:cs="Tahoma"/>
          <w:b w:val="0"/>
          <w:color w:val="000000"/>
          <w:sz w:val="22"/>
          <w:shd w:val="clear" w:color="auto" w:fill="FFFFFF"/>
          <w:lang w:val="en-GB"/>
        </w:rPr>
      </w:pPr>
      <w:r w:rsidRPr="00AC7B00">
        <w:rPr>
          <w:sz w:val="22"/>
          <w:lang w:val="en-GB"/>
        </w:rPr>
        <w:t xml:space="preserve">While the CJEU did not explicitly address the questions regarding the running of the statute of limitations and default interest, indicating that it was up to the national courts to interpret them, this interpretation should be done to the fullest extent possible in light of the content and purpose of Directive 93/13. </w:t>
      </w:r>
      <w:r w:rsidRPr="00AC7B00">
        <w:rPr>
          <w:rStyle w:val="Pogrubienie"/>
          <w:rFonts w:cs="Tahoma"/>
          <w:b w:val="0"/>
          <w:bCs w:val="0"/>
          <w:color w:val="000000"/>
          <w:sz w:val="22"/>
          <w:shd w:val="clear" w:color="auto" w:fill="FFFFFF"/>
          <w:lang w:val="en-GB"/>
        </w:rPr>
        <w:t xml:space="preserve">Thus, neither the running of the statute of limitations on claims nor the date from which the consumer can demand payment of interest for delay is dependent on the consumer making such a statement. </w:t>
      </w:r>
    </w:p>
    <w:p w14:paraId="1BEA2893" w14:textId="08B9965B" w:rsidR="00F019E5" w:rsidRPr="00AC7B00" w:rsidRDefault="00F019E5" w:rsidP="00F019E5">
      <w:pPr>
        <w:spacing w:after="240" w:line="360" w:lineRule="auto"/>
        <w:jc w:val="both"/>
        <w:rPr>
          <w:b/>
          <w:sz w:val="22"/>
          <w:lang w:val="en-GB"/>
        </w:rPr>
      </w:pPr>
      <w:r w:rsidRPr="00AC7B00">
        <w:rPr>
          <w:b/>
          <w:bCs/>
          <w:sz w:val="22"/>
          <w:lang w:val="en-GB"/>
        </w:rPr>
        <w:t>Reduction of the consumer</w:t>
      </w:r>
      <w:r w:rsidR="00AC7B00">
        <w:rPr>
          <w:b/>
          <w:bCs/>
          <w:sz w:val="22"/>
          <w:lang w:val="en-GB"/>
        </w:rPr>
        <w:t>’</w:t>
      </w:r>
      <w:r w:rsidRPr="00AC7B00">
        <w:rPr>
          <w:b/>
          <w:bCs/>
          <w:sz w:val="22"/>
          <w:lang w:val="en-GB"/>
        </w:rPr>
        <w:t>s claim by capital interest</w:t>
      </w:r>
    </w:p>
    <w:p w14:paraId="01234C19" w14:textId="61F78A84" w:rsidR="00F019E5" w:rsidRPr="00AC7B00" w:rsidRDefault="00F019E5" w:rsidP="00F019E5">
      <w:pPr>
        <w:spacing w:after="240" w:line="360" w:lineRule="auto"/>
        <w:jc w:val="both"/>
        <w:rPr>
          <w:sz w:val="22"/>
          <w:lang w:val="en-GB"/>
        </w:rPr>
      </w:pPr>
      <w:r w:rsidRPr="00AC7B00">
        <w:rPr>
          <w:sz w:val="22"/>
          <w:lang w:val="en-GB"/>
        </w:rPr>
        <w:t>The fourth of the preliminary questions in fact coincides with the issue resolved in the judg</w:t>
      </w:r>
      <w:r w:rsidR="00AC7B00" w:rsidRPr="00AC7B00">
        <w:rPr>
          <w:sz w:val="22"/>
          <w:lang w:val="en-GB"/>
        </w:rPr>
        <w:t>e</w:t>
      </w:r>
      <w:r w:rsidRPr="00AC7B00">
        <w:rPr>
          <w:sz w:val="22"/>
          <w:lang w:val="en-GB"/>
        </w:rPr>
        <w:t xml:space="preserve">ment of </w:t>
      </w:r>
      <w:r w:rsidR="00AC7B00" w:rsidRPr="00AC7B00">
        <w:rPr>
          <w:sz w:val="22"/>
          <w:lang w:val="en-GB"/>
        </w:rPr>
        <w:t>15</w:t>
      </w:r>
      <w:r w:rsidR="00AC7B00">
        <w:rPr>
          <w:sz w:val="22"/>
          <w:lang w:val="en-GB"/>
        </w:rPr>
        <w:t xml:space="preserve"> </w:t>
      </w:r>
      <w:r w:rsidRPr="00AC7B00">
        <w:rPr>
          <w:sz w:val="22"/>
          <w:lang w:val="en-GB"/>
        </w:rPr>
        <w:t xml:space="preserve">June 2023 in Case C-520/21 Bank M. in which the CJEU ruled that the </w:t>
      </w:r>
      <w:r w:rsidRPr="00AC7B00">
        <w:rPr>
          <w:sz w:val="22"/>
          <w:lang w:val="en-GB"/>
        </w:rPr>
        <w:lastRenderedPageBreak/>
        <w:t xml:space="preserve">provisions of Directive 93/13/EEC precluded such an interpretation of national legislation that would allow entrepreneurs to demand payment of remuneration for the use of the object of the benefit transferred to the consumer under an agreement that has been declared invalid as a result of the elimination of prohibited contractual provisions form its wording. </w:t>
      </w:r>
    </w:p>
    <w:p w14:paraId="422B1381" w14:textId="1635337C" w:rsidR="00F019E5" w:rsidRPr="00AC7B00" w:rsidRDefault="00F019E5" w:rsidP="00F019E5">
      <w:pPr>
        <w:spacing w:after="240" w:line="360" w:lineRule="auto"/>
        <w:jc w:val="both"/>
        <w:rPr>
          <w:sz w:val="22"/>
          <w:lang w:val="en-GB"/>
        </w:rPr>
      </w:pPr>
      <w:r w:rsidRPr="00AC7B00">
        <w:rPr>
          <w:sz w:val="22"/>
          <w:lang w:val="en-GB"/>
        </w:rPr>
        <w:t>In the current judg</w:t>
      </w:r>
      <w:r w:rsidR="00AC7B00" w:rsidRPr="00AC7B00">
        <w:rPr>
          <w:sz w:val="22"/>
          <w:lang w:val="en-GB"/>
        </w:rPr>
        <w:t>e</w:t>
      </w:r>
      <w:r w:rsidRPr="00AC7B00">
        <w:rPr>
          <w:sz w:val="22"/>
          <w:lang w:val="en-GB"/>
        </w:rPr>
        <w:t xml:space="preserve">ment, the Court cited the aforementioned </w:t>
      </w:r>
      <w:r w:rsidR="00A91262">
        <w:rPr>
          <w:sz w:val="22"/>
          <w:lang w:val="en-GB"/>
        </w:rPr>
        <w:t xml:space="preserve">15 </w:t>
      </w:r>
      <w:r w:rsidRPr="00AC7B00">
        <w:rPr>
          <w:sz w:val="22"/>
          <w:lang w:val="en-GB"/>
        </w:rPr>
        <w:t>June judg</w:t>
      </w:r>
      <w:r w:rsidR="00AC7B00" w:rsidRPr="00AC7B00">
        <w:rPr>
          <w:sz w:val="22"/>
          <w:lang w:val="en-GB"/>
        </w:rPr>
        <w:t>e</w:t>
      </w:r>
      <w:r w:rsidRPr="00AC7B00">
        <w:rPr>
          <w:sz w:val="22"/>
          <w:lang w:val="en-GB"/>
        </w:rPr>
        <w:t>ment and ruled that the provisions of Directive 93/13/EEC must be interpreted to preclude an interpretation of national law according to which a consumer</w:t>
      </w:r>
      <w:r w:rsidR="00AC7B00">
        <w:rPr>
          <w:sz w:val="22"/>
          <w:lang w:val="en-GB"/>
        </w:rPr>
        <w:t>’</w:t>
      </w:r>
      <w:r w:rsidRPr="00AC7B00">
        <w:rPr>
          <w:sz w:val="22"/>
          <w:lang w:val="en-GB"/>
        </w:rPr>
        <w:t>s claim for reimbursement of the benefits they have provided under an invalid loan agreement should be reduced by the equivalent of the capital interest to which the bank would have been entitled had the loan agreement been valid.</w:t>
      </w:r>
    </w:p>
    <w:p w14:paraId="09980D17" w14:textId="5060C4E1" w:rsidR="00F019E5" w:rsidRPr="00AC7B00" w:rsidRDefault="00F019E5" w:rsidP="00F019E5">
      <w:pPr>
        <w:spacing w:after="240" w:line="360" w:lineRule="auto"/>
        <w:jc w:val="both"/>
        <w:rPr>
          <w:b/>
          <w:sz w:val="22"/>
          <w:lang w:val="en-GB"/>
        </w:rPr>
      </w:pPr>
      <w:r w:rsidRPr="00AC7B00">
        <w:rPr>
          <w:b/>
          <w:bCs/>
          <w:sz w:val="22"/>
          <w:lang w:val="en-GB"/>
        </w:rPr>
        <w:t>The CJEU</w:t>
      </w:r>
      <w:r w:rsidR="00AC7B00">
        <w:rPr>
          <w:b/>
          <w:bCs/>
          <w:sz w:val="22"/>
          <w:lang w:val="en-GB"/>
        </w:rPr>
        <w:t>’</w:t>
      </w:r>
      <w:r w:rsidRPr="00AC7B00">
        <w:rPr>
          <w:b/>
          <w:bCs/>
          <w:sz w:val="22"/>
          <w:lang w:val="en-GB"/>
        </w:rPr>
        <w:t xml:space="preserve">s next major ruling is coming on </w:t>
      </w:r>
      <w:r w:rsidR="00AC7B00" w:rsidRPr="00AC7B00">
        <w:rPr>
          <w:b/>
          <w:bCs/>
          <w:sz w:val="22"/>
          <w:lang w:val="en-GB"/>
        </w:rPr>
        <w:t>14</w:t>
      </w:r>
      <w:r w:rsidR="00AC7B00">
        <w:rPr>
          <w:b/>
          <w:bCs/>
          <w:sz w:val="22"/>
          <w:lang w:val="en-GB"/>
        </w:rPr>
        <w:t xml:space="preserve"> </w:t>
      </w:r>
      <w:r w:rsidRPr="00AC7B00">
        <w:rPr>
          <w:b/>
          <w:bCs/>
          <w:sz w:val="22"/>
          <w:lang w:val="en-GB"/>
        </w:rPr>
        <w:t>December 2023</w:t>
      </w:r>
    </w:p>
    <w:p w14:paraId="293AE667" w14:textId="57441145" w:rsidR="00F019E5" w:rsidRPr="00AC7B00" w:rsidRDefault="00F019E5" w:rsidP="00F019E5">
      <w:pPr>
        <w:spacing w:after="240" w:line="360" w:lineRule="auto"/>
        <w:jc w:val="both"/>
        <w:rPr>
          <w:bCs/>
          <w:sz w:val="22"/>
          <w:lang w:val="en-GB"/>
        </w:rPr>
      </w:pPr>
      <w:r w:rsidRPr="00AC7B00">
        <w:rPr>
          <w:sz w:val="22"/>
          <w:lang w:val="en-GB"/>
        </w:rPr>
        <w:t xml:space="preserve">On </w:t>
      </w:r>
      <w:r w:rsidR="007B2CB3">
        <w:rPr>
          <w:sz w:val="22"/>
          <w:lang w:val="en-GB"/>
        </w:rPr>
        <w:t xml:space="preserve">14 </w:t>
      </w:r>
      <w:r w:rsidRPr="00AC7B00">
        <w:rPr>
          <w:sz w:val="22"/>
          <w:lang w:val="en-GB"/>
        </w:rPr>
        <w:t>December, another important decision will be made for banks and CHF-de</w:t>
      </w:r>
      <w:r w:rsidR="00AC7B00">
        <w:rPr>
          <w:sz w:val="22"/>
          <w:lang w:val="en-GB"/>
        </w:rPr>
        <w:t>n</w:t>
      </w:r>
      <w:r w:rsidRPr="00AC7B00">
        <w:rPr>
          <w:sz w:val="22"/>
          <w:lang w:val="en-GB"/>
        </w:rPr>
        <w:t>o</w:t>
      </w:r>
      <w:r w:rsidR="00AC7B00">
        <w:rPr>
          <w:sz w:val="22"/>
          <w:lang w:val="en-GB"/>
        </w:rPr>
        <w:t>m</w:t>
      </w:r>
      <w:r w:rsidRPr="00AC7B00">
        <w:rPr>
          <w:sz w:val="22"/>
          <w:lang w:val="en-GB"/>
        </w:rPr>
        <w:t xml:space="preserve">inated loan customers. In Case C-28/22, the CJEU will answer five preliminary questions from the Warsaw District Court in connection with the Resolution of the Supreme Court of 7 May 2021 on the statute of limitations period for bank claims. The Court will then decide the question of the start of the running of the </w:t>
      </w:r>
      <w:r w:rsidRPr="00AC7B00">
        <w:rPr>
          <w:b/>
          <w:bCs/>
          <w:sz w:val="22"/>
          <w:lang w:val="en-GB"/>
        </w:rPr>
        <w:t xml:space="preserve">limitation period for the bank: </w:t>
      </w:r>
      <w:r w:rsidRPr="00AC7B00">
        <w:rPr>
          <w:sz w:val="22"/>
          <w:lang w:val="en-GB"/>
        </w:rPr>
        <w:t>whether it runs from</w:t>
      </w:r>
      <w:r w:rsidRPr="00AC7B00">
        <w:rPr>
          <w:b/>
          <w:bCs/>
          <w:sz w:val="22"/>
          <w:lang w:val="en-GB"/>
        </w:rPr>
        <w:t xml:space="preserve"> </w:t>
      </w:r>
      <w:r w:rsidRPr="00AC7B00">
        <w:rPr>
          <w:sz w:val="22"/>
          <w:lang w:val="en-GB"/>
        </w:rPr>
        <w:t>the consumer</w:t>
      </w:r>
      <w:r w:rsidR="00AC7B00">
        <w:rPr>
          <w:sz w:val="22"/>
          <w:lang w:val="en-GB"/>
        </w:rPr>
        <w:t>’</w:t>
      </w:r>
      <w:r w:rsidRPr="00AC7B00">
        <w:rPr>
          <w:sz w:val="22"/>
          <w:lang w:val="en-GB"/>
        </w:rPr>
        <w:t>s filing of claims against the entrepreneur or from the consumer</w:t>
      </w:r>
      <w:r w:rsidR="00AC7B00">
        <w:rPr>
          <w:sz w:val="22"/>
          <w:lang w:val="en-GB"/>
        </w:rPr>
        <w:t>’</w:t>
      </w:r>
      <w:r w:rsidRPr="00AC7B00">
        <w:rPr>
          <w:sz w:val="22"/>
          <w:lang w:val="en-GB"/>
        </w:rPr>
        <w:t>s filing of a statement of the consequences of not being able to continue the agreement or from the verification in court proceedings of the consumer</w:t>
      </w:r>
      <w:r w:rsidR="00AC7B00">
        <w:rPr>
          <w:sz w:val="22"/>
          <w:lang w:val="en-GB"/>
        </w:rPr>
        <w:t>’</w:t>
      </w:r>
      <w:r w:rsidRPr="00AC7B00">
        <w:rPr>
          <w:sz w:val="22"/>
          <w:lang w:val="en-GB"/>
        </w:rPr>
        <w:t>s knowledge of the consequences or the issuance by the court of a final judg</w:t>
      </w:r>
      <w:r w:rsidR="00AC7B00" w:rsidRPr="00AC7B00">
        <w:rPr>
          <w:sz w:val="22"/>
          <w:lang w:val="en-GB"/>
        </w:rPr>
        <w:t>e</w:t>
      </w:r>
      <w:r w:rsidRPr="00AC7B00">
        <w:rPr>
          <w:sz w:val="22"/>
          <w:lang w:val="en-GB"/>
        </w:rPr>
        <w:t xml:space="preserve">ment resolving the dispute. </w:t>
      </w:r>
      <w:r w:rsidRPr="00AC7B00">
        <w:rPr>
          <w:b/>
          <w:bCs/>
          <w:sz w:val="22"/>
          <w:lang w:val="en-GB"/>
        </w:rPr>
        <w:t xml:space="preserve">In addition, the Court will address the question of whether an entrepreneur should verify itself that the consumer knows the consequences of making a claim, and </w:t>
      </w:r>
      <w:r w:rsidRPr="00AC7B00">
        <w:rPr>
          <w:sz w:val="22"/>
          <w:lang w:val="en-GB"/>
        </w:rPr>
        <w:t>the question of</w:t>
      </w:r>
      <w:r w:rsidRPr="00AC7B00">
        <w:rPr>
          <w:b/>
          <w:bCs/>
          <w:sz w:val="22"/>
          <w:lang w:val="en-GB"/>
        </w:rPr>
        <w:t xml:space="preserve"> </w:t>
      </w:r>
      <w:r w:rsidRPr="00AC7B00">
        <w:rPr>
          <w:sz w:val="22"/>
          <w:lang w:val="en-GB"/>
        </w:rPr>
        <w:t>application of the right of retention which results in the entrepreneur not having to pay interest from the time of the retention statement - whether its application is contrary to the principle of effectiveness of Directive 93/13.</w:t>
      </w:r>
    </w:p>
    <w:p w14:paraId="2EDE2FF2" w14:textId="77777777" w:rsidR="00F019E5" w:rsidRPr="00AC7B00" w:rsidRDefault="00F019E5" w:rsidP="00F02755">
      <w:pPr>
        <w:pStyle w:val="Tekstkomentarza"/>
        <w:spacing w:line="360" w:lineRule="auto"/>
        <w:jc w:val="both"/>
        <w:rPr>
          <w:rStyle w:val="Pogrubienie"/>
          <w:rFonts w:cs="Tahoma"/>
          <w:color w:val="000000"/>
          <w:sz w:val="22"/>
          <w:shd w:val="clear" w:color="auto" w:fill="FFFFFF"/>
          <w:lang w:val="en-GB"/>
        </w:rPr>
      </w:pPr>
    </w:p>
    <w:p w14:paraId="024CD6C7" w14:textId="77777777" w:rsidR="00F202EF" w:rsidRPr="00AC7B00" w:rsidRDefault="00F202EF" w:rsidP="00F202EF">
      <w:pPr>
        <w:spacing w:after="240" w:line="360" w:lineRule="auto"/>
        <w:jc w:val="both"/>
        <w:rPr>
          <w:rFonts w:ascii="Tahoma" w:hAnsi="Tahoma" w:cs="Tahoma"/>
          <w:szCs w:val="18"/>
          <w:lang w:val="en-GB"/>
        </w:rPr>
      </w:pPr>
      <w:r w:rsidRPr="00AC7B00">
        <w:rPr>
          <w:rStyle w:val="Pogrubienie"/>
          <w:rFonts w:ascii="Tahoma" w:eastAsia="Calibri" w:hAnsi="Tahoma" w:cs="Tahoma"/>
          <w:szCs w:val="18"/>
          <w:lang w:val="en-GB"/>
        </w:rPr>
        <w:t>Consumer Support:</w:t>
      </w:r>
    </w:p>
    <w:p w14:paraId="321A38C9" w14:textId="77777777" w:rsidR="00F202EF" w:rsidRPr="00AC7B00" w:rsidRDefault="00F202EF" w:rsidP="00F202EF">
      <w:pPr>
        <w:pStyle w:val="NormalnyWeb"/>
        <w:shd w:val="clear" w:color="auto" w:fill="FFFFFF"/>
        <w:spacing w:before="0" w:beforeAutospacing="0" w:after="0" w:afterAutospacing="0"/>
        <w:rPr>
          <w:rFonts w:ascii="Tahoma" w:hAnsi="Tahoma" w:cs="Tahoma"/>
          <w:sz w:val="18"/>
          <w:szCs w:val="18"/>
        </w:rPr>
      </w:pPr>
      <w:r w:rsidRPr="00AC7B00">
        <w:rPr>
          <w:rFonts w:ascii="Tahoma" w:hAnsi="Tahoma" w:cs="Tahoma"/>
          <w:sz w:val="18"/>
          <w:szCs w:val="18"/>
        </w:rPr>
        <w:t xml:space="preserve">Phone: </w:t>
      </w:r>
      <w:bookmarkStart w:id="0" w:name="_Hlk120527957"/>
      <w:r w:rsidRPr="00AC7B00">
        <w:rPr>
          <w:rFonts w:ascii="Tahoma" w:hAnsi="Tahoma" w:cs="Tahoma"/>
          <w:sz w:val="18"/>
          <w:szCs w:val="18"/>
        </w:rPr>
        <w:t xml:space="preserve">+48 801 440 220 or +48 222 66 76 76 </w:t>
      </w:r>
      <w:bookmarkEnd w:id="0"/>
      <w:r w:rsidRPr="00AC7B00">
        <w:rPr>
          <w:rFonts w:ascii="Tahoma" w:hAnsi="Tahoma" w:cs="Tahoma"/>
          <w:sz w:val="18"/>
          <w:szCs w:val="18"/>
        </w:rPr>
        <w:t>– consumer helpline</w:t>
      </w:r>
      <w:r w:rsidRPr="00AC7B00">
        <w:rPr>
          <w:rFonts w:ascii="Tahoma" w:hAnsi="Tahoma" w:cs="Tahoma"/>
          <w:color w:val="3C4147"/>
          <w:sz w:val="18"/>
          <w:szCs w:val="18"/>
        </w:rPr>
        <w:br/>
      </w:r>
      <w:r w:rsidRPr="00AC7B00">
        <w:rPr>
          <w:rFonts w:ascii="Tahoma" w:hAnsi="Tahoma" w:cs="Tahoma"/>
          <w:sz w:val="18"/>
          <w:szCs w:val="18"/>
        </w:rPr>
        <w:t>E-mail: </w:t>
      </w:r>
      <w:hyperlink r:id="rId9" w:history="1">
        <w:r w:rsidRPr="00AC7B00">
          <w:rPr>
            <w:rStyle w:val="Hipercze"/>
            <w:rFonts w:ascii="Tahoma" w:hAnsi="Tahoma" w:cs="Tahoma"/>
            <w:sz w:val="18"/>
            <w:szCs w:val="18"/>
          </w:rPr>
          <w:t>porady@dlakonsumentow.pl</w:t>
        </w:r>
      </w:hyperlink>
      <w:r w:rsidRPr="00AC7B00">
        <w:rPr>
          <w:rFonts w:ascii="Tahoma" w:hAnsi="Tahoma" w:cs="Tahoma"/>
          <w:color w:val="3C4147"/>
          <w:sz w:val="18"/>
          <w:szCs w:val="18"/>
        </w:rPr>
        <w:br/>
      </w:r>
      <w:hyperlink r:id="rId10" w:history="1">
        <w:r w:rsidRPr="00AC7B00">
          <w:rPr>
            <w:rStyle w:val="Hipercze"/>
            <w:rFonts w:ascii="Tahoma" w:hAnsi="Tahoma" w:cs="Tahoma"/>
            <w:color w:val="133C8A"/>
            <w:sz w:val="18"/>
            <w:szCs w:val="18"/>
          </w:rPr>
          <w:t>Consumer Ombudsmen</w:t>
        </w:r>
      </w:hyperlink>
      <w:r w:rsidRPr="00AC7B00">
        <w:rPr>
          <w:rFonts w:ascii="Tahoma" w:hAnsi="Tahoma" w:cs="Tahoma"/>
          <w:color w:val="3C4147"/>
          <w:sz w:val="18"/>
          <w:szCs w:val="18"/>
        </w:rPr>
        <w:t xml:space="preserve"> – </w:t>
      </w:r>
      <w:r w:rsidRPr="00AC7B00">
        <w:rPr>
          <w:rFonts w:ascii="Tahoma" w:hAnsi="Tahoma" w:cs="Tahoma"/>
          <w:sz w:val="18"/>
          <w:szCs w:val="18"/>
        </w:rPr>
        <w:t>in your town or district</w:t>
      </w:r>
    </w:p>
    <w:p w14:paraId="523154D3" w14:textId="2FE0052C" w:rsidR="00F202EF" w:rsidRPr="00AC7B00" w:rsidRDefault="007B2CB3" w:rsidP="00F202EF">
      <w:pPr>
        <w:pStyle w:val="NormalnyWeb"/>
        <w:shd w:val="clear" w:color="auto" w:fill="FFFFFF"/>
        <w:spacing w:before="0" w:beforeAutospacing="0" w:after="0" w:afterAutospacing="0"/>
        <w:rPr>
          <w:rFonts w:ascii="Tahoma" w:hAnsi="Tahoma" w:cs="Tahoma"/>
          <w:sz w:val="18"/>
          <w:szCs w:val="18"/>
        </w:rPr>
      </w:pPr>
      <w:hyperlink r:id="rId11" w:history="1">
        <w:r w:rsidR="009A04A3" w:rsidRPr="00AC7B00">
          <w:rPr>
            <w:rStyle w:val="Hipercze"/>
            <w:rFonts w:ascii="Tahoma" w:hAnsi="Tahoma" w:cs="Tahoma"/>
            <w:color w:val="133C8A"/>
            <w:sz w:val="18"/>
            <w:szCs w:val="18"/>
          </w:rPr>
          <w:t>Financial Ombudsman</w:t>
        </w:r>
      </w:hyperlink>
      <w:r w:rsidR="009A04A3" w:rsidRPr="00AC7B00">
        <w:rPr>
          <w:rFonts w:ascii="Tahoma" w:hAnsi="Tahoma"/>
          <w:sz w:val="18"/>
          <w:szCs w:val="18"/>
        </w:rPr>
        <w:t xml:space="preserve"> – when a complaint has been rejected by a financial institution</w:t>
      </w:r>
    </w:p>
    <w:p w14:paraId="6AEC2A40" w14:textId="16583D38" w:rsidR="008872FC" w:rsidRPr="00AC7B00" w:rsidRDefault="008872FC" w:rsidP="00F202EF">
      <w:pPr>
        <w:pStyle w:val="NormalnyWeb"/>
        <w:shd w:val="clear" w:color="auto" w:fill="FFFFFF"/>
        <w:spacing w:before="0" w:beforeAutospacing="0" w:after="0" w:afterAutospacing="0"/>
      </w:pPr>
    </w:p>
    <w:p w14:paraId="3B89BA81" w14:textId="2DC4CD97" w:rsidR="006E367B" w:rsidRPr="00AC7B00" w:rsidRDefault="006E367B" w:rsidP="00A804EC">
      <w:pPr>
        <w:rPr>
          <w:lang w:val="en-GB"/>
        </w:rPr>
      </w:pPr>
    </w:p>
    <w:p w14:paraId="6D338210" w14:textId="77777777" w:rsidR="006E367B" w:rsidRPr="00AC7B00" w:rsidRDefault="006E367B" w:rsidP="00A804EC">
      <w:pPr>
        <w:rPr>
          <w:lang w:val="en-GB"/>
        </w:rPr>
      </w:pPr>
    </w:p>
    <w:sectPr w:rsidR="006E367B" w:rsidRPr="00AC7B00" w:rsidSect="00444043">
      <w:headerReference w:type="default" r:id="rId12"/>
      <w:footerReference w:type="default" r:id="rId13"/>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B436" w14:textId="77777777" w:rsidR="009A04A3" w:rsidRDefault="009A04A3">
      <w:r>
        <w:separator/>
      </w:r>
    </w:p>
  </w:endnote>
  <w:endnote w:type="continuationSeparator" w:id="0">
    <w:p w14:paraId="15789A7A" w14:textId="77777777" w:rsidR="009A04A3" w:rsidRDefault="009A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BC41" w14:textId="77777777" w:rsidR="007B2CB3"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3B4ADA3D" w14:textId="77777777" w:rsidR="007B2CB3"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Communications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028A" w14:textId="77777777" w:rsidR="009A04A3" w:rsidRDefault="009A04A3">
      <w:r>
        <w:separator/>
      </w:r>
    </w:p>
  </w:footnote>
  <w:footnote w:type="continuationSeparator" w:id="0">
    <w:p w14:paraId="1617CC78" w14:textId="77777777" w:rsidR="009A04A3" w:rsidRDefault="009A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7FA0" w14:textId="77777777" w:rsidR="007B2CB3" w:rsidRDefault="00C81210" w:rsidP="0041396E">
    <w:pPr>
      <w:pStyle w:val="Nagwek"/>
      <w:tabs>
        <w:tab w:val="clear" w:pos="9072"/>
      </w:tabs>
    </w:pPr>
    <w:r>
      <w:rPr>
        <w:noProof/>
        <w:lang w:val="en"/>
      </w:rPr>
      <w:drawing>
        <wp:inline distT="0" distB="0" distL="0" distR="0" wp14:anchorId="5347C3ED" wp14:editId="03343205">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E1072"/>
    <w:multiLevelType w:val="multilevel"/>
    <w:tmpl w:val="1A4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624C"/>
    <w:multiLevelType w:val="multilevel"/>
    <w:tmpl w:val="8CE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A36DEF"/>
    <w:multiLevelType w:val="hybridMultilevel"/>
    <w:tmpl w:val="5CB06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0170650">
    <w:abstractNumId w:val="10"/>
  </w:num>
  <w:num w:numId="2" w16cid:durableId="1512790583">
    <w:abstractNumId w:val="11"/>
  </w:num>
  <w:num w:numId="3" w16cid:durableId="1931085937">
    <w:abstractNumId w:val="3"/>
  </w:num>
  <w:num w:numId="4" w16cid:durableId="1519419063">
    <w:abstractNumId w:val="17"/>
  </w:num>
  <w:num w:numId="5" w16cid:durableId="1969965667">
    <w:abstractNumId w:val="9"/>
  </w:num>
  <w:num w:numId="6" w16cid:durableId="1323199141">
    <w:abstractNumId w:val="12"/>
  </w:num>
  <w:num w:numId="7" w16cid:durableId="284772979">
    <w:abstractNumId w:val="20"/>
  </w:num>
  <w:num w:numId="8" w16cid:durableId="1841575904">
    <w:abstractNumId w:val="0"/>
  </w:num>
  <w:num w:numId="9" w16cid:durableId="1754011872">
    <w:abstractNumId w:val="18"/>
  </w:num>
  <w:num w:numId="10" w16cid:durableId="1218933568">
    <w:abstractNumId w:val="7"/>
  </w:num>
  <w:num w:numId="11" w16cid:durableId="1829904475">
    <w:abstractNumId w:val="13"/>
  </w:num>
  <w:num w:numId="12" w16cid:durableId="2117626937">
    <w:abstractNumId w:val="19"/>
  </w:num>
  <w:num w:numId="13" w16cid:durableId="965356955">
    <w:abstractNumId w:val="5"/>
  </w:num>
  <w:num w:numId="14" w16cid:durableId="1723282639">
    <w:abstractNumId w:val="16"/>
  </w:num>
  <w:num w:numId="15" w16cid:durableId="1900481930">
    <w:abstractNumId w:val="8"/>
  </w:num>
  <w:num w:numId="16" w16cid:durableId="1590383269">
    <w:abstractNumId w:val="2"/>
  </w:num>
  <w:num w:numId="17" w16cid:durableId="599222763">
    <w:abstractNumId w:val="15"/>
  </w:num>
  <w:num w:numId="18" w16cid:durableId="1420255655">
    <w:abstractNumId w:val="6"/>
  </w:num>
  <w:num w:numId="19" w16cid:durableId="997919673">
    <w:abstractNumId w:val="1"/>
  </w:num>
  <w:num w:numId="20" w16cid:durableId="1189879121">
    <w:abstractNumId w:val="4"/>
  </w:num>
  <w:num w:numId="21" w16cid:durableId="1863397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204"/>
    <w:rsid w:val="0000251C"/>
    <w:rsid w:val="00002C19"/>
    <w:rsid w:val="0000713A"/>
    <w:rsid w:val="00007E00"/>
    <w:rsid w:val="00011AF2"/>
    <w:rsid w:val="00013A64"/>
    <w:rsid w:val="00023634"/>
    <w:rsid w:val="0002523D"/>
    <w:rsid w:val="00034A87"/>
    <w:rsid w:val="000358C2"/>
    <w:rsid w:val="00035BA9"/>
    <w:rsid w:val="00041BF2"/>
    <w:rsid w:val="00042087"/>
    <w:rsid w:val="000426C4"/>
    <w:rsid w:val="00042F96"/>
    <w:rsid w:val="00047B8A"/>
    <w:rsid w:val="00050A7B"/>
    <w:rsid w:val="00053F10"/>
    <w:rsid w:val="00057AB2"/>
    <w:rsid w:val="00057CA0"/>
    <w:rsid w:val="000651E9"/>
    <w:rsid w:val="00073AA7"/>
    <w:rsid w:val="00076B21"/>
    <w:rsid w:val="0007715C"/>
    <w:rsid w:val="00082E34"/>
    <w:rsid w:val="00084562"/>
    <w:rsid w:val="0008568B"/>
    <w:rsid w:val="00093348"/>
    <w:rsid w:val="00093FEE"/>
    <w:rsid w:val="00096170"/>
    <w:rsid w:val="000A3211"/>
    <w:rsid w:val="000A4F9E"/>
    <w:rsid w:val="000A74FA"/>
    <w:rsid w:val="000B038C"/>
    <w:rsid w:val="000B149D"/>
    <w:rsid w:val="000B1AC5"/>
    <w:rsid w:val="000B7247"/>
    <w:rsid w:val="000C20F8"/>
    <w:rsid w:val="000D5964"/>
    <w:rsid w:val="000D7606"/>
    <w:rsid w:val="000E20D3"/>
    <w:rsid w:val="000E2756"/>
    <w:rsid w:val="000E4469"/>
    <w:rsid w:val="000E5FC5"/>
    <w:rsid w:val="000F1C64"/>
    <w:rsid w:val="000F67AD"/>
    <w:rsid w:val="001015B8"/>
    <w:rsid w:val="00104EE9"/>
    <w:rsid w:val="0010559C"/>
    <w:rsid w:val="001065B5"/>
    <w:rsid w:val="00107844"/>
    <w:rsid w:val="00112D49"/>
    <w:rsid w:val="00120FBD"/>
    <w:rsid w:val="0012229A"/>
    <w:rsid w:val="0012424D"/>
    <w:rsid w:val="0013159A"/>
    <w:rsid w:val="00131F61"/>
    <w:rsid w:val="00135455"/>
    <w:rsid w:val="0014043E"/>
    <w:rsid w:val="00141526"/>
    <w:rsid w:val="00143310"/>
    <w:rsid w:val="00143895"/>
    <w:rsid w:val="001444D5"/>
    <w:rsid w:val="00144E9C"/>
    <w:rsid w:val="00146142"/>
    <w:rsid w:val="00147DB8"/>
    <w:rsid w:val="001532F5"/>
    <w:rsid w:val="00161094"/>
    <w:rsid w:val="00163DF9"/>
    <w:rsid w:val="00164E48"/>
    <w:rsid w:val="001666D6"/>
    <w:rsid w:val="00166B5D"/>
    <w:rsid w:val="001675EF"/>
    <w:rsid w:val="0017028A"/>
    <w:rsid w:val="00171644"/>
    <w:rsid w:val="00173378"/>
    <w:rsid w:val="00175B4D"/>
    <w:rsid w:val="00180B2C"/>
    <w:rsid w:val="0018507C"/>
    <w:rsid w:val="00190D5A"/>
    <w:rsid w:val="001914CC"/>
    <w:rsid w:val="001918E2"/>
    <w:rsid w:val="001979B5"/>
    <w:rsid w:val="001A3149"/>
    <w:rsid w:val="001A5F7C"/>
    <w:rsid w:val="001A6E5B"/>
    <w:rsid w:val="001A7451"/>
    <w:rsid w:val="001B5E84"/>
    <w:rsid w:val="001C1FAD"/>
    <w:rsid w:val="001C2B80"/>
    <w:rsid w:val="001C3FE3"/>
    <w:rsid w:val="001C4D76"/>
    <w:rsid w:val="001C5B95"/>
    <w:rsid w:val="001C5EF0"/>
    <w:rsid w:val="001C659C"/>
    <w:rsid w:val="001C73AA"/>
    <w:rsid w:val="001D248E"/>
    <w:rsid w:val="001D2F14"/>
    <w:rsid w:val="001E17BB"/>
    <w:rsid w:val="001E188E"/>
    <w:rsid w:val="001E4F92"/>
    <w:rsid w:val="001E5921"/>
    <w:rsid w:val="001E6E06"/>
    <w:rsid w:val="001F16B4"/>
    <w:rsid w:val="001F1C63"/>
    <w:rsid w:val="001F394B"/>
    <w:rsid w:val="001F4A73"/>
    <w:rsid w:val="001F6208"/>
    <w:rsid w:val="00200A71"/>
    <w:rsid w:val="002036A4"/>
    <w:rsid w:val="00203A94"/>
    <w:rsid w:val="00205580"/>
    <w:rsid w:val="0020771C"/>
    <w:rsid w:val="00214084"/>
    <w:rsid w:val="00215135"/>
    <w:rsid w:val="002157BB"/>
    <w:rsid w:val="002233E8"/>
    <w:rsid w:val="00224D23"/>
    <w:rsid w:val="0022540B"/>
    <w:rsid w:val="002262B5"/>
    <w:rsid w:val="00227171"/>
    <w:rsid w:val="00230FA6"/>
    <w:rsid w:val="0023138D"/>
    <w:rsid w:val="00233CFA"/>
    <w:rsid w:val="00234D22"/>
    <w:rsid w:val="00240013"/>
    <w:rsid w:val="0024118E"/>
    <w:rsid w:val="00241BAC"/>
    <w:rsid w:val="00250B84"/>
    <w:rsid w:val="00252160"/>
    <w:rsid w:val="00256451"/>
    <w:rsid w:val="00257139"/>
    <w:rsid w:val="002576BC"/>
    <w:rsid w:val="00260382"/>
    <w:rsid w:val="002614E3"/>
    <w:rsid w:val="002628AC"/>
    <w:rsid w:val="002648EB"/>
    <w:rsid w:val="00266CB4"/>
    <w:rsid w:val="00267DD1"/>
    <w:rsid w:val="00267FF0"/>
    <w:rsid w:val="00270508"/>
    <w:rsid w:val="0027152E"/>
    <w:rsid w:val="00274B06"/>
    <w:rsid w:val="00277457"/>
    <w:rsid w:val="002801AA"/>
    <w:rsid w:val="00280DD9"/>
    <w:rsid w:val="0028761A"/>
    <w:rsid w:val="0028778B"/>
    <w:rsid w:val="00295B34"/>
    <w:rsid w:val="002A2D13"/>
    <w:rsid w:val="002A4371"/>
    <w:rsid w:val="002A477E"/>
    <w:rsid w:val="002A5D69"/>
    <w:rsid w:val="002B121C"/>
    <w:rsid w:val="002B1DBF"/>
    <w:rsid w:val="002B4F4B"/>
    <w:rsid w:val="002B4FBF"/>
    <w:rsid w:val="002C0D5D"/>
    <w:rsid w:val="002C4762"/>
    <w:rsid w:val="002C692D"/>
    <w:rsid w:val="002C6ABE"/>
    <w:rsid w:val="002D1B70"/>
    <w:rsid w:val="002D5455"/>
    <w:rsid w:val="002E1064"/>
    <w:rsid w:val="002E15CE"/>
    <w:rsid w:val="002E25F2"/>
    <w:rsid w:val="002E388C"/>
    <w:rsid w:val="002E5647"/>
    <w:rsid w:val="002E6C0B"/>
    <w:rsid w:val="002F1BF3"/>
    <w:rsid w:val="002F1CEA"/>
    <w:rsid w:val="002F39FD"/>
    <w:rsid w:val="002F4D43"/>
    <w:rsid w:val="002F5450"/>
    <w:rsid w:val="002F5DDB"/>
    <w:rsid w:val="00301F39"/>
    <w:rsid w:val="003020E8"/>
    <w:rsid w:val="003056C6"/>
    <w:rsid w:val="003060E1"/>
    <w:rsid w:val="00311B14"/>
    <w:rsid w:val="0031276A"/>
    <w:rsid w:val="00313EC7"/>
    <w:rsid w:val="00314E90"/>
    <w:rsid w:val="0032000E"/>
    <w:rsid w:val="0032193F"/>
    <w:rsid w:val="00324306"/>
    <w:rsid w:val="0032524B"/>
    <w:rsid w:val="00325336"/>
    <w:rsid w:val="003278D6"/>
    <w:rsid w:val="003302BC"/>
    <w:rsid w:val="003303F0"/>
    <w:rsid w:val="00330B05"/>
    <w:rsid w:val="00330C22"/>
    <w:rsid w:val="00335713"/>
    <w:rsid w:val="0034059B"/>
    <w:rsid w:val="0035019C"/>
    <w:rsid w:val="00352649"/>
    <w:rsid w:val="003526EA"/>
    <w:rsid w:val="00352D4E"/>
    <w:rsid w:val="00354CD6"/>
    <w:rsid w:val="00360248"/>
    <w:rsid w:val="00360C66"/>
    <w:rsid w:val="003621A3"/>
    <w:rsid w:val="00366A46"/>
    <w:rsid w:val="00370341"/>
    <w:rsid w:val="003708DA"/>
    <w:rsid w:val="00371354"/>
    <w:rsid w:val="003717A7"/>
    <w:rsid w:val="00372702"/>
    <w:rsid w:val="00374C7E"/>
    <w:rsid w:val="003769F4"/>
    <w:rsid w:val="00377A0D"/>
    <w:rsid w:val="003843D6"/>
    <w:rsid w:val="003853B3"/>
    <w:rsid w:val="00385D3C"/>
    <w:rsid w:val="0038677D"/>
    <w:rsid w:val="003911F8"/>
    <w:rsid w:val="003929E9"/>
    <w:rsid w:val="00396F5B"/>
    <w:rsid w:val="00397ABB"/>
    <w:rsid w:val="003A2203"/>
    <w:rsid w:val="003C4B64"/>
    <w:rsid w:val="003C4D39"/>
    <w:rsid w:val="003C58F6"/>
    <w:rsid w:val="003D23C6"/>
    <w:rsid w:val="003D3F5D"/>
    <w:rsid w:val="003D3FF4"/>
    <w:rsid w:val="003D7161"/>
    <w:rsid w:val="003E29AB"/>
    <w:rsid w:val="003E2AD2"/>
    <w:rsid w:val="003E3F9D"/>
    <w:rsid w:val="003E69E5"/>
    <w:rsid w:val="003F12A7"/>
    <w:rsid w:val="003F170E"/>
    <w:rsid w:val="003F266C"/>
    <w:rsid w:val="003F2DFE"/>
    <w:rsid w:val="003F53EE"/>
    <w:rsid w:val="0040748E"/>
    <w:rsid w:val="00412206"/>
    <w:rsid w:val="00412C9F"/>
    <w:rsid w:val="004171BA"/>
    <w:rsid w:val="00417347"/>
    <w:rsid w:val="00420DAB"/>
    <w:rsid w:val="004211CC"/>
    <w:rsid w:val="00421F69"/>
    <w:rsid w:val="0042408B"/>
    <w:rsid w:val="00425EE6"/>
    <w:rsid w:val="00427A8A"/>
    <w:rsid w:val="00427AF6"/>
    <w:rsid w:val="00427E08"/>
    <w:rsid w:val="004349BA"/>
    <w:rsid w:val="0043575C"/>
    <w:rsid w:val="004365C7"/>
    <w:rsid w:val="00437415"/>
    <w:rsid w:val="00437AF7"/>
    <w:rsid w:val="004425B7"/>
    <w:rsid w:val="00444043"/>
    <w:rsid w:val="00444A85"/>
    <w:rsid w:val="00444E16"/>
    <w:rsid w:val="00446760"/>
    <w:rsid w:val="0045026F"/>
    <w:rsid w:val="00455370"/>
    <w:rsid w:val="00462CFA"/>
    <w:rsid w:val="004632E5"/>
    <w:rsid w:val="00464A74"/>
    <w:rsid w:val="00464D8C"/>
    <w:rsid w:val="00467587"/>
    <w:rsid w:val="00470E1B"/>
    <w:rsid w:val="0047139D"/>
    <w:rsid w:val="0047174C"/>
    <w:rsid w:val="00473590"/>
    <w:rsid w:val="00482592"/>
    <w:rsid w:val="00484AD3"/>
    <w:rsid w:val="004863F5"/>
    <w:rsid w:val="0048676D"/>
    <w:rsid w:val="00486A35"/>
    <w:rsid w:val="00486DB1"/>
    <w:rsid w:val="0049290B"/>
    <w:rsid w:val="00493E10"/>
    <w:rsid w:val="00495853"/>
    <w:rsid w:val="004972E8"/>
    <w:rsid w:val="0049765D"/>
    <w:rsid w:val="004A0EF3"/>
    <w:rsid w:val="004A1CB3"/>
    <w:rsid w:val="004A3C62"/>
    <w:rsid w:val="004B003C"/>
    <w:rsid w:val="004B08E5"/>
    <w:rsid w:val="004B3F8E"/>
    <w:rsid w:val="004C0F9E"/>
    <w:rsid w:val="004C1243"/>
    <w:rsid w:val="004C2169"/>
    <w:rsid w:val="004C5C26"/>
    <w:rsid w:val="004C6499"/>
    <w:rsid w:val="004C7B80"/>
    <w:rsid w:val="004D176B"/>
    <w:rsid w:val="004D6A69"/>
    <w:rsid w:val="004E3900"/>
    <w:rsid w:val="004F0142"/>
    <w:rsid w:val="004F2D0D"/>
    <w:rsid w:val="004F3AB4"/>
    <w:rsid w:val="004F3EAE"/>
    <w:rsid w:val="004F638A"/>
    <w:rsid w:val="004F7029"/>
    <w:rsid w:val="004F7E99"/>
    <w:rsid w:val="005003F9"/>
    <w:rsid w:val="0050051A"/>
    <w:rsid w:val="005022CB"/>
    <w:rsid w:val="0050417B"/>
    <w:rsid w:val="005118B4"/>
    <w:rsid w:val="005133CE"/>
    <w:rsid w:val="0052033E"/>
    <w:rsid w:val="00521BA3"/>
    <w:rsid w:val="00523E0D"/>
    <w:rsid w:val="00525588"/>
    <w:rsid w:val="0052710E"/>
    <w:rsid w:val="00532D0F"/>
    <w:rsid w:val="005333D6"/>
    <w:rsid w:val="0053340F"/>
    <w:rsid w:val="005429D2"/>
    <w:rsid w:val="005442FC"/>
    <w:rsid w:val="005458CE"/>
    <w:rsid w:val="0054651C"/>
    <w:rsid w:val="00551CE8"/>
    <w:rsid w:val="00552399"/>
    <w:rsid w:val="00553936"/>
    <w:rsid w:val="0055631A"/>
    <w:rsid w:val="0055631D"/>
    <w:rsid w:val="00564F79"/>
    <w:rsid w:val="00565753"/>
    <w:rsid w:val="0057516B"/>
    <w:rsid w:val="00576A7A"/>
    <w:rsid w:val="0058215D"/>
    <w:rsid w:val="00585135"/>
    <w:rsid w:val="00585735"/>
    <w:rsid w:val="00587ECB"/>
    <w:rsid w:val="00590E45"/>
    <w:rsid w:val="00593935"/>
    <w:rsid w:val="005973FD"/>
    <w:rsid w:val="00597C68"/>
    <w:rsid w:val="005A382B"/>
    <w:rsid w:val="005A4047"/>
    <w:rsid w:val="005A73FD"/>
    <w:rsid w:val="005B0F9C"/>
    <w:rsid w:val="005B2CCE"/>
    <w:rsid w:val="005B3CDA"/>
    <w:rsid w:val="005B3F49"/>
    <w:rsid w:val="005B472C"/>
    <w:rsid w:val="005B6151"/>
    <w:rsid w:val="005B7095"/>
    <w:rsid w:val="005C0D39"/>
    <w:rsid w:val="005C1239"/>
    <w:rsid w:val="005C3297"/>
    <w:rsid w:val="005C4AB4"/>
    <w:rsid w:val="005C6232"/>
    <w:rsid w:val="005C62B3"/>
    <w:rsid w:val="005C72F4"/>
    <w:rsid w:val="005D0C33"/>
    <w:rsid w:val="005D5A33"/>
    <w:rsid w:val="005D6F7A"/>
    <w:rsid w:val="005E5B88"/>
    <w:rsid w:val="005E73B8"/>
    <w:rsid w:val="005E78EE"/>
    <w:rsid w:val="005F139F"/>
    <w:rsid w:val="005F18F0"/>
    <w:rsid w:val="005F1EBD"/>
    <w:rsid w:val="005F73C5"/>
    <w:rsid w:val="00600EC3"/>
    <w:rsid w:val="00603D1F"/>
    <w:rsid w:val="006063D0"/>
    <w:rsid w:val="00607083"/>
    <w:rsid w:val="00613C45"/>
    <w:rsid w:val="00622F01"/>
    <w:rsid w:val="006266A4"/>
    <w:rsid w:val="00626CB8"/>
    <w:rsid w:val="00633524"/>
    <w:rsid w:val="00633D4E"/>
    <w:rsid w:val="0063526F"/>
    <w:rsid w:val="006360CA"/>
    <w:rsid w:val="00636FFD"/>
    <w:rsid w:val="00637E86"/>
    <w:rsid w:val="006422DE"/>
    <w:rsid w:val="006436E3"/>
    <w:rsid w:val="006439FA"/>
    <w:rsid w:val="00644387"/>
    <w:rsid w:val="00650228"/>
    <w:rsid w:val="006503C1"/>
    <w:rsid w:val="00651074"/>
    <w:rsid w:val="00651B61"/>
    <w:rsid w:val="00653A61"/>
    <w:rsid w:val="00654BF5"/>
    <w:rsid w:val="00655BFD"/>
    <w:rsid w:val="00660C60"/>
    <w:rsid w:val="00662CFD"/>
    <w:rsid w:val="00663285"/>
    <w:rsid w:val="0067027E"/>
    <w:rsid w:val="006731C4"/>
    <w:rsid w:val="0067485D"/>
    <w:rsid w:val="0068209D"/>
    <w:rsid w:val="00684A86"/>
    <w:rsid w:val="006853ED"/>
    <w:rsid w:val="006925E2"/>
    <w:rsid w:val="0069305E"/>
    <w:rsid w:val="00694C9E"/>
    <w:rsid w:val="00696062"/>
    <w:rsid w:val="006A0171"/>
    <w:rsid w:val="006A2065"/>
    <w:rsid w:val="006A39BD"/>
    <w:rsid w:val="006A3D88"/>
    <w:rsid w:val="006A4A7A"/>
    <w:rsid w:val="006A4D09"/>
    <w:rsid w:val="006A5A21"/>
    <w:rsid w:val="006A7280"/>
    <w:rsid w:val="006A7C6E"/>
    <w:rsid w:val="006B0072"/>
    <w:rsid w:val="006B0848"/>
    <w:rsid w:val="006B3D34"/>
    <w:rsid w:val="006B733D"/>
    <w:rsid w:val="006B7DF8"/>
    <w:rsid w:val="006C34AE"/>
    <w:rsid w:val="006C67AF"/>
    <w:rsid w:val="006D3DC5"/>
    <w:rsid w:val="006D46DA"/>
    <w:rsid w:val="006D49C2"/>
    <w:rsid w:val="006D7CDA"/>
    <w:rsid w:val="006E367B"/>
    <w:rsid w:val="006E5778"/>
    <w:rsid w:val="006E7762"/>
    <w:rsid w:val="006F143B"/>
    <w:rsid w:val="006F185A"/>
    <w:rsid w:val="007012F9"/>
    <w:rsid w:val="00703241"/>
    <w:rsid w:val="007039E2"/>
    <w:rsid w:val="007039EC"/>
    <w:rsid w:val="007041CB"/>
    <w:rsid w:val="007042BD"/>
    <w:rsid w:val="00707C9A"/>
    <w:rsid w:val="00710031"/>
    <w:rsid w:val="00714894"/>
    <w:rsid w:val="0071572D"/>
    <w:rsid w:val="007157BA"/>
    <w:rsid w:val="007169F9"/>
    <w:rsid w:val="007174A6"/>
    <w:rsid w:val="007206BA"/>
    <w:rsid w:val="007209E3"/>
    <w:rsid w:val="007224B3"/>
    <w:rsid w:val="007224B9"/>
    <w:rsid w:val="00726B18"/>
    <w:rsid w:val="00731303"/>
    <w:rsid w:val="007350D1"/>
    <w:rsid w:val="00735F01"/>
    <w:rsid w:val="0073753E"/>
    <w:rsid w:val="007402E0"/>
    <w:rsid w:val="0074030F"/>
    <w:rsid w:val="0074489D"/>
    <w:rsid w:val="00746549"/>
    <w:rsid w:val="007513E4"/>
    <w:rsid w:val="007514AD"/>
    <w:rsid w:val="0075352C"/>
    <w:rsid w:val="00753A06"/>
    <w:rsid w:val="00754A2D"/>
    <w:rsid w:val="0075524D"/>
    <w:rsid w:val="007560B0"/>
    <w:rsid w:val="007567AA"/>
    <w:rsid w:val="00757A0C"/>
    <w:rsid w:val="007627D7"/>
    <w:rsid w:val="0076380D"/>
    <w:rsid w:val="00763F39"/>
    <w:rsid w:val="00764F55"/>
    <w:rsid w:val="0076775D"/>
    <w:rsid w:val="00772598"/>
    <w:rsid w:val="00776C4F"/>
    <w:rsid w:val="00776EE5"/>
    <w:rsid w:val="00777216"/>
    <w:rsid w:val="007824AE"/>
    <w:rsid w:val="00783257"/>
    <w:rsid w:val="007838E4"/>
    <w:rsid w:val="007846DC"/>
    <w:rsid w:val="00784731"/>
    <w:rsid w:val="007857B1"/>
    <w:rsid w:val="00791A37"/>
    <w:rsid w:val="00793840"/>
    <w:rsid w:val="007971E4"/>
    <w:rsid w:val="0079727E"/>
    <w:rsid w:val="007A14EE"/>
    <w:rsid w:val="007A15B2"/>
    <w:rsid w:val="007A19D8"/>
    <w:rsid w:val="007A73E9"/>
    <w:rsid w:val="007B2CB3"/>
    <w:rsid w:val="007B5399"/>
    <w:rsid w:val="007B58DA"/>
    <w:rsid w:val="007C3264"/>
    <w:rsid w:val="007C7AB3"/>
    <w:rsid w:val="007C7B9D"/>
    <w:rsid w:val="007D7F6B"/>
    <w:rsid w:val="007E36E4"/>
    <w:rsid w:val="007E5846"/>
    <w:rsid w:val="007F0ACE"/>
    <w:rsid w:val="007F16B3"/>
    <w:rsid w:val="007F44B9"/>
    <w:rsid w:val="007F5A2F"/>
    <w:rsid w:val="0080006C"/>
    <w:rsid w:val="00800F0E"/>
    <w:rsid w:val="00804024"/>
    <w:rsid w:val="0080486E"/>
    <w:rsid w:val="00812E9B"/>
    <w:rsid w:val="00813EFC"/>
    <w:rsid w:val="00815904"/>
    <w:rsid w:val="0081753E"/>
    <w:rsid w:val="00820299"/>
    <w:rsid w:val="00824369"/>
    <w:rsid w:val="00825775"/>
    <w:rsid w:val="008419BA"/>
    <w:rsid w:val="0084363E"/>
    <w:rsid w:val="008455C7"/>
    <w:rsid w:val="0085010E"/>
    <w:rsid w:val="0085454F"/>
    <w:rsid w:val="00856878"/>
    <w:rsid w:val="00861CE4"/>
    <w:rsid w:val="00861FF4"/>
    <w:rsid w:val="008731EB"/>
    <w:rsid w:val="0087354F"/>
    <w:rsid w:val="00873645"/>
    <w:rsid w:val="00877E08"/>
    <w:rsid w:val="008809B8"/>
    <w:rsid w:val="0088111C"/>
    <w:rsid w:val="008848D1"/>
    <w:rsid w:val="00886E74"/>
    <w:rsid w:val="008872FC"/>
    <w:rsid w:val="00891386"/>
    <w:rsid w:val="00894E75"/>
    <w:rsid w:val="00896985"/>
    <w:rsid w:val="008A05AC"/>
    <w:rsid w:val="008A0725"/>
    <w:rsid w:val="008A0DE6"/>
    <w:rsid w:val="008A464B"/>
    <w:rsid w:val="008B17B5"/>
    <w:rsid w:val="008B1E34"/>
    <w:rsid w:val="008B3775"/>
    <w:rsid w:val="008B3CA7"/>
    <w:rsid w:val="008B4038"/>
    <w:rsid w:val="008B47B1"/>
    <w:rsid w:val="008C0067"/>
    <w:rsid w:val="008C128B"/>
    <w:rsid w:val="008C234D"/>
    <w:rsid w:val="008C53D0"/>
    <w:rsid w:val="008C6ACC"/>
    <w:rsid w:val="008C7176"/>
    <w:rsid w:val="008D35C8"/>
    <w:rsid w:val="008D3BD6"/>
    <w:rsid w:val="008D527A"/>
    <w:rsid w:val="008D56DA"/>
    <w:rsid w:val="008D5771"/>
    <w:rsid w:val="008E06E0"/>
    <w:rsid w:val="008F149F"/>
    <w:rsid w:val="008F472E"/>
    <w:rsid w:val="009015F1"/>
    <w:rsid w:val="009020DF"/>
    <w:rsid w:val="00902556"/>
    <w:rsid w:val="0090338C"/>
    <w:rsid w:val="00903FFD"/>
    <w:rsid w:val="00904C12"/>
    <w:rsid w:val="00907D07"/>
    <w:rsid w:val="0091048E"/>
    <w:rsid w:val="00912EF6"/>
    <w:rsid w:val="00914181"/>
    <w:rsid w:val="00922940"/>
    <w:rsid w:val="00924ABC"/>
    <w:rsid w:val="00933332"/>
    <w:rsid w:val="00936679"/>
    <w:rsid w:val="00936855"/>
    <w:rsid w:val="009369FA"/>
    <w:rsid w:val="0093717D"/>
    <w:rsid w:val="00940E8F"/>
    <w:rsid w:val="009412D8"/>
    <w:rsid w:val="00941AFA"/>
    <w:rsid w:val="00944068"/>
    <w:rsid w:val="00950FE7"/>
    <w:rsid w:val="0095309C"/>
    <w:rsid w:val="009538AB"/>
    <w:rsid w:val="0096249E"/>
    <w:rsid w:val="009652F2"/>
    <w:rsid w:val="009719ED"/>
    <w:rsid w:val="00975E11"/>
    <w:rsid w:val="009807E1"/>
    <w:rsid w:val="00986C37"/>
    <w:rsid w:val="009907A2"/>
    <w:rsid w:val="0099273F"/>
    <w:rsid w:val="00997528"/>
    <w:rsid w:val="0099796A"/>
    <w:rsid w:val="009A04A3"/>
    <w:rsid w:val="009A1C05"/>
    <w:rsid w:val="009B0EAF"/>
    <w:rsid w:val="009B4293"/>
    <w:rsid w:val="009B6BAF"/>
    <w:rsid w:val="009C0036"/>
    <w:rsid w:val="009C0274"/>
    <w:rsid w:val="009C1346"/>
    <w:rsid w:val="009C4DBF"/>
    <w:rsid w:val="009C553B"/>
    <w:rsid w:val="009D05C8"/>
    <w:rsid w:val="009D0F4D"/>
    <w:rsid w:val="009D2847"/>
    <w:rsid w:val="009E3BBB"/>
    <w:rsid w:val="009E3C0B"/>
    <w:rsid w:val="009F3546"/>
    <w:rsid w:val="009F3F04"/>
    <w:rsid w:val="009F5A15"/>
    <w:rsid w:val="009F68CA"/>
    <w:rsid w:val="00A04F60"/>
    <w:rsid w:val="00A11FB9"/>
    <w:rsid w:val="00A126FF"/>
    <w:rsid w:val="00A13244"/>
    <w:rsid w:val="00A1540F"/>
    <w:rsid w:val="00A16B17"/>
    <w:rsid w:val="00A239AA"/>
    <w:rsid w:val="00A30D85"/>
    <w:rsid w:val="00A375CB"/>
    <w:rsid w:val="00A439E8"/>
    <w:rsid w:val="00A44A03"/>
    <w:rsid w:val="00A45753"/>
    <w:rsid w:val="00A511C6"/>
    <w:rsid w:val="00A53423"/>
    <w:rsid w:val="00A56131"/>
    <w:rsid w:val="00A62659"/>
    <w:rsid w:val="00A65E9F"/>
    <w:rsid w:val="00A65F20"/>
    <w:rsid w:val="00A66E4A"/>
    <w:rsid w:val="00A739CA"/>
    <w:rsid w:val="00A73D1A"/>
    <w:rsid w:val="00A74DDC"/>
    <w:rsid w:val="00A75686"/>
    <w:rsid w:val="00A76293"/>
    <w:rsid w:val="00A77DA2"/>
    <w:rsid w:val="00A804EC"/>
    <w:rsid w:val="00A8058F"/>
    <w:rsid w:val="00A85D9D"/>
    <w:rsid w:val="00A86214"/>
    <w:rsid w:val="00A86DA0"/>
    <w:rsid w:val="00A871DF"/>
    <w:rsid w:val="00A91262"/>
    <w:rsid w:val="00A920B1"/>
    <w:rsid w:val="00A92C4C"/>
    <w:rsid w:val="00A96763"/>
    <w:rsid w:val="00A9760F"/>
    <w:rsid w:val="00AA04C9"/>
    <w:rsid w:val="00AA3186"/>
    <w:rsid w:val="00AA3B1F"/>
    <w:rsid w:val="00AA602D"/>
    <w:rsid w:val="00AB0DF3"/>
    <w:rsid w:val="00AB336E"/>
    <w:rsid w:val="00AB3D91"/>
    <w:rsid w:val="00AB572D"/>
    <w:rsid w:val="00AB647A"/>
    <w:rsid w:val="00AC1CC1"/>
    <w:rsid w:val="00AC26EC"/>
    <w:rsid w:val="00AC29DC"/>
    <w:rsid w:val="00AC4F69"/>
    <w:rsid w:val="00AC7B00"/>
    <w:rsid w:val="00AE2923"/>
    <w:rsid w:val="00AE3BFA"/>
    <w:rsid w:val="00AE5149"/>
    <w:rsid w:val="00AE79C5"/>
    <w:rsid w:val="00AE7F9D"/>
    <w:rsid w:val="00AF1794"/>
    <w:rsid w:val="00AF44D7"/>
    <w:rsid w:val="00AF70AB"/>
    <w:rsid w:val="00B028F7"/>
    <w:rsid w:val="00B0708D"/>
    <w:rsid w:val="00B075C5"/>
    <w:rsid w:val="00B17C15"/>
    <w:rsid w:val="00B22863"/>
    <w:rsid w:val="00B22BD6"/>
    <w:rsid w:val="00B30F18"/>
    <w:rsid w:val="00B3160D"/>
    <w:rsid w:val="00B35280"/>
    <w:rsid w:val="00B37A95"/>
    <w:rsid w:val="00B41502"/>
    <w:rsid w:val="00B41D1F"/>
    <w:rsid w:val="00B437AD"/>
    <w:rsid w:val="00B51024"/>
    <w:rsid w:val="00B512B5"/>
    <w:rsid w:val="00B568BB"/>
    <w:rsid w:val="00B60CD8"/>
    <w:rsid w:val="00B60F9C"/>
    <w:rsid w:val="00B634F5"/>
    <w:rsid w:val="00B645CE"/>
    <w:rsid w:val="00B647E4"/>
    <w:rsid w:val="00B65AAC"/>
    <w:rsid w:val="00B6769E"/>
    <w:rsid w:val="00B67DBE"/>
    <w:rsid w:val="00B70713"/>
    <w:rsid w:val="00B7121B"/>
    <w:rsid w:val="00B712F2"/>
    <w:rsid w:val="00B71898"/>
    <w:rsid w:val="00B73F22"/>
    <w:rsid w:val="00B769FC"/>
    <w:rsid w:val="00B76F9A"/>
    <w:rsid w:val="00B774D3"/>
    <w:rsid w:val="00B810B2"/>
    <w:rsid w:val="00B8509D"/>
    <w:rsid w:val="00B91A37"/>
    <w:rsid w:val="00B92670"/>
    <w:rsid w:val="00BA26F7"/>
    <w:rsid w:val="00BA61A6"/>
    <w:rsid w:val="00BA73AA"/>
    <w:rsid w:val="00BA79F0"/>
    <w:rsid w:val="00BB5068"/>
    <w:rsid w:val="00BB7AE8"/>
    <w:rsid w:val="00BC14A0"/>
    <w:rsid w:val="00BC1535"/>
    <w:rsid w:val="00BC7504"/>
    <w:rsid w:val="00BD0481"/>
    <w:rsid w:val="00BD14BC"/>
    <w:rsid w:val="00BD2E15"/>
    <w:rsid w:val="00BD4447"/>
    <w:rsid w:val="00BD45FE"/>
    <w:rsid w:val="00BD78A1"/>
    <w:rsid w:val="00BE2623"/>
    <w:rsid w:val="00BE331E"/>
    <w:rsid w:val="00BE3923"/>
    <w:rsid w:val="00BE4BF0"/>
    <w:rsid w:val="00BE5EE5"/>
    <w:rsid w:val="00BE61AC"/>
    <w:rsid w:val="00BE61F8"/>
    <w:rsid w:val="00BE68EE"/>
    <w:rsid w:val="00BE6F92"/>
    <w:rsid w:val="00BE7F63"/>
    <w:rsid w:val="00BF1D51"/>
    <w:rsid w:val="00BF45FB"/>
    <w:rsid w:val="00BF54F5"/>
    <w:rsid w:val="00BF58D5"/>
    <w:rsid w:val="00C0009B"/>
    <w:rsid w:val="00C037A3"/>
    <w:rsid w:val="00C10AB4"/>
    <w:rsid w:val="00C123B1"/>
    <w:rsid w:val="00C16196"/>
    <w:rsid w:val="00C21071"/>
    <w:rsid w:val="00C21B6A"/>
    <w:rsid w:val="00C22E21"/>
    <w:rsid w:val="00C2398C"/>
    <w:rsid w:val="00C25569"/>
    <w:rsid w:val="00C27366"/>
    <w:rsid w:val="00C30EA1"/>
    <w:rsid w:val="00C34BF1"/>
    <w:rsid w:val="00C41F0A"/>
    <w:rsid w:val="00C426B0"/>
    <w:rsid w:val="00C50333"/>
    <w:rsid w:val="00C5259C"/>
    <w:rsid w:val="00C547DF"/>
    <w:rsid w:val="00C63AA8"/>
    <w:rsid w:val="00C7783C"/>
    <w:rsid w:val="00C81210"/>
    <w:rsid w:val="00C8184F"/>
    <w:rsid w:val="00C9148D"/>
    <w:rsid w:val="00CA321A"/>
    <w:rsid w:val="00CA555C"/>
    <w:rsid w:val="00CA5A76"/>
    <w:rsid w:val="00CA6B58"/>
    <w:rsid w:val="00CA6CE4"/>
    <w:rsid w:val="00CA6DF7"/>
    <w:rsid w:val="00CA6F29"/>
    <w:rsid w:val="00CB0BFE"/>
    <w:rsid w:val="00CB133E"/>
    <w:rsid w:val="00CB1AE6"/>
    <w:rsid w:val="00CB3B6B"/>
    <w:rsid w:val="00CB3ED4"/>
    <w:rsid w:val="00CB3F86"/>
    <w:rsid w:val="00CB611A"/>
    <w:rsid w:val="00CB6B09"/>
    <w:rsid w:val="00CB7742"/>
    <w:rsid w:val="00CC0C57"/>
    <w:rsid w:val="00CD05E8"/>
    <w:rsid w:val="00CD34F0"/>
    <w:rsid w:val="00CE0954"/>
    <w:rsid w:val="00CE1220"/>
    <w:rsid w:val="00CE5CED"/>
    <w:rsid w:val="00CE6CD4"/>
    <w:rsid w:val="00CE7072"/>
    <w:rsid w:val="00CE7998"/>
    <w:rsid w:val="00CF11F7"/>
    <w:rsid w:val="00CF1220"/>
    <w:rsid w:val="00CF1FCB"/>
    <w:rsid w:val="00CF2DB2"/>
    <w:rsid w:val="00CF3281"/>
    <w:rsid w:val="00D03B33"/>
    <w:rsid w:val="00D0650A"/>
    <w:rsid w:val="00D11351"/>
    <w:rsid w:val="00D1148D"/>
    <w:rsid w:val="00D11AF7"/>
    <w:rsid w:val="00D12075"/>
    <w:rsid w:val="00D1323F"/>
    <w:rsid w:val="00D133BD"/>
    <w:rsid w:val="00D172C3"/>
    <w:rsid w:val="00D202BA"/>
    <w:rsid w:val="00D2034C"/>
    <w:rsid w:val="00D22264"/>
    <w:rsid w:val="00D251AC"/>
    <w:rsid w:val="00D26B1D"/>
    <w:rsid w:val="00D30CAC"/>
    <w:rsid w:val="00D35C23"/>
    <w:rsid w:val="00D4089E"/>
    <w:rsid w:val="00D42CEF"/>
    <w:rsid w:val="00D43766"/>
    <w:rsid w:val="00D45C0D"/>
    <w:rsid w:val="00D47CCF"/>
    <w:rsid w:val="00D50AC5"/>
    <w:rsid w:val="00D52B45"/>
    <w:rsid w:val="00D5318E"/>
    <w:rsid w:val="00D53399"/>
    <w:rsid w:val="00D568CF"/>
    <w:rsid w:val="00D57CDC"/>
    <w:rsid w:val="00D620EC"/>
    <w:rsid w:val="00D6457B"/>
    <w:rsid w:val="00D6460A"/>
    <w:rsid w:val="00D650E2"/>
    <w:rsid w:val="00D66DEC"/>
    <w:rsid w:val="00D67583"/>
    <w:rsid w:val="00D67A14"/>
    <w:rsid w:val="00D70306"/>
    <w:rsid w:val="00D71A41"/>
    <w:rsid w:val="00D758A6"/>
    <w:rsid w:val="00D75A7B"/>
    <w:rsid w:val="00D768A4"/>
    <w:rsid w:val="00D82788"/>
    <w:rsid w:val="00D841CA"/>
    <w:rsid w:val="00D84973"/>
    <w:rsid w:val="00D92100"/>
    <w:rsid w:val="00D92F52"/>
    <w:rsid w:val="00D93CAA"/>
    <w:rsid w:val="00D962BB"/>
    <w:rsid w:val="00DA00CF"/>
    <w:rsid w:val="00DA023A"/>
    <w:rsid w:val="00DA24CB"/>
    <w:rsid w:val="00DA753F"/>
    <w:rsid w:val="00DA78C1"/>
    <w:rsid w:val="00DB0721"/>
    <w:rsid w:val="00DB0D38"/>
    <w:rsid w:val="00DB2957"/>
    <w:rsid w:val="00DB610A"/>
    <w:rsid w:val="00DB7E43"/>
    <w:rsid w:val="00DC182C"/>
    <w:rsid w:val="00DC185E"/>
    <w:rsid w:val="00DC5754"/>
    <w:rsid w:val="00DC779C"/>
    <w:rsid w:val="00DC77F9"/>
    <w:rsid w:val="00DD007E"/>
    <w:rsid w:val="00DD06C3"/>
    <w:rsid w:val="00DD34A3"/>
    <w:rsid w:val="00DD3F1F"/>
    <w:rsid w:val="00DD6056"/>
    <w:rsid w:val="00DE325C"/>
    <w:rsid w:val="00DE657E"/>
    <w:rsid w:val="00DE78F8"/>
    <w:rsid w:val="00DE7C6A"/>
    <w:rsid w:val="00DF2857"/>
    <w:rsid w:val="00DF3FF8"/>
    <w:rsid w:val="00DF4954"/>
    <w:rsid w:val="00DF782B"/>
    <w:rsid w:val="00E00E47"/>
    <w:rsid w:val="00E03AEF"/>
    <w:rsid w:val="00E102DE"/>
    <w:rsid w:val="00E11F5D"/>
    <w:rsid w:val="00E129C3"/>
    <w:rsid w:val="00E1478E"/>
    <w:rsid w:val="00E2122C"/>
    <w:rsid w:val="00E24825"/>
    <w:rsid w:val="00E26C55"/>
    <w:rsid w:val="00E302DB"/>
    <w:rsid w:val="00E30DDE"/>
    <w:rsid w:val="00E312DA"/>
    <w:rsid w:val="00E36532"/>
    <w:rsid w:val="00E37FCF"/>
    <w:rsid w:val="00E42093"/>
    <w:rsid w:val="00E436BF"/>
    <w:rsid w:val="00E522AD"/>
    <w:rsid w:val="00E56E91"/>
    <w:rsid w:val="00E6302C"/>
    <w:rsid w:val="00E64103"/>
    <w:rsid w:val="00E65B4D"/>
    <w:rsid w:val="00E6644D"/>
    <w:rsid w:val="00E66C68"/>
    <w:rsid w:val="00E76CD1"/>
    <w:rsid w:val="00E775D4"/>
    <w:rsid w:val="00E80A6E"/>
    <w:rsid w:val="00E80EED"/>
    <w:rsid w:val="00E847D4"/>
    <w:rsid w:val="00E86FB5"/>
    <w:rsid w:val="00E917A6"/>
    <w:rsid w:val="00E95B73"/>
    <w:rsid w:val="00EA090B"/>
    <w:rsid w:val="00EA1836"/>
    <w:rsid w:val="00EA22F9"/>
    <w:rsid w:val="00EA4D0D"/>
    <w:rsid w:val="00EC017D"/>
    <w:rsid w:val="00EC0263"/>
    <w:rsid w:val="00EC39F1"/>
    <w:rsid w:val="00EC4C16"/>
    <w:rsid w:val="00ED3DAA"/>
    <w:rsid w:val="00ED45B4"/>
    <w:rsid w:val="00ED59FB"/>
    <w:rsid w:val="00ED6F4B"/>
    <w:rsid w:val="00ED711D"/>
    <w:rsid w:val="00EE0554"/>
    <w:rsid w:val="00EE4AD8"/>
    <w:rsid w:val="00EE5E53"/>
    <w:rsid w:val="00EE789A"/>
    <w:rsid w:val="00EF1CAB"/>
    <w:rsid w:val="00EF730D"/>
    <w:rsid w:val="00F019E5"/>
    <w:rsid w:val="00F02755"/>
    <w:rsid w:val="00F07FA7"/>
    <w:rsid w:val="00F10458"/>
    <w:rsid w:val="00F119B5"/>
    <w:rsid w:val="00F12E58"/>
    <w:rsid w:val="00F139AC"/>
    <w:rsid w:val="00F1467E"/>
    <w:rsid w:val="00F14A50"/>
    <w:rsid w:val="00F16000"/>
    <w:rsid w:val="00F1768D"/>
    <w:rsid w:val="00F201E4"/>
    <w:rsid w:val="00F202EF"/>
    <w:rsid w:val="00F20759"/>
    <w:rsid w:val="00F214F2"/>
    <w:rsid w:val="00F21EAC"/>
    <w:rsid w:val="00F24E3C"/>
    <w:rsid w:val="00F251F1"/>
    <w:rsid w:val="00F3044B"/>
    <w:rsid w:val="00F3243D"/>
    <w:rsid w:val="00F33E9B"/>
    <w:rsid w:val="00F36E4D"/>
    <w:rsid w:val="00F37B58"/>
    <w:rsid w:val="00F40908"/>
    <w:rsid w:val="00F40DC6"/>
    <w:rsid w:val="00F414C2"/>
    <w:rsid w:val="00F41BEB"/>
    <w:rsid w:val="00F45115"/>
    <w:rsid w:val="00F46D0D"/>
    <w:rsid w:val="00F50AD0"/>
    <w:rsid w:val="00F5218F"/>
    <w:rsid w:val="00F529BF"/>
    <w:rsid w:val="00F535ED"/>
    <w:rsid w:val="00F568A9"/>
    <w:rsid w:val="00F56DE6"/>
    <w:rsid w:val="00F60790"/>
    <w:rsid w:val="00F61104"/>
    <w:rsid w:val="00F62F63"/>
    <w:rsid w:val="00F63E9C"/>
    <w:rsid w:val="00F82DE3"/>
    <w:rsid w:val="00F8406E"/>
    <w:rsid w:val="00F90158"/>
    <w:rsid w:val="00F92B59"/>
    <w:rsid w:val="00F931B3"/>
    <w:rsid w:val="00F936E2"/>
    <w:rsid w:val="00F948BC"/>
    <w:rsid w:val="00F94B48"/>
    <w:rsid w:val="00F953FA"/>
    <w:rsid w:val="00F960CF"/>
    <w:rsid w:val="00FA10A3"/>
    <w:rsid w:val="00FA1226"/>
    <w:rsid w:val="00FA1C55"/>
    <w:rsid w:val="00FA209C"/>
    <w:rsid w:val="00FB10B5"/>
    <w:rsid w:val="00FB4E3C"/>
    <w:rsid w:val="00FC04F1"/>
    <w:rsid w:val="00FC1420"/>
    <w:rsid w:val="00FC1EED"/>
    <w:rsid w:val="00FC3C5B"/>
    <w:rsid w:val="00FC4958"/>
    <w:rsid w:val="00FD09D8"/>
    <w:rsid w:val="00FD2EB2"/>
    <w:rsid w:val="00FE12AF"/>
    <w:rsid w:val="00FE422B"/>
    <w:rsid w:val="00FF013F"/>
    <w:rsid w:val="00FF170C"/>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pel">
    <w:name w:val="_pe_l"/>
    <w:basedOn w:val="Domylnaczcionkaakapitu"/>
    <w:rsid w:val="001015B8"/>
  </w:style>
  <w:style w:type="character" w:customStyle="1" w:styleId="bidi">
    <w:name w:val="bidi"/>
    <w:basedOn w:val="Domylnaczcionkaakapitu"/>
    <w:rsid w:val="001015B8"/>
  </w:style>
  <w:style w:type="character" w:customStyle="1" w:styleId="rpk1">
    <w:name w:val="_rp_k1"/>
    <w:basedOn w:val="Domylnaczcionkaakapitu"/>
    <w:rsid w:val="001015B8"/>
  </w:style>
  <w:style w:type="character" w:customStyle="1" w:styleId="rpu1">
    <w:name w:val="_rp_u1"/>
    <w:basedOn w:val="Domylnaczcionkaakapitu"/>
    <w:rsid w:val="001015B8"/>
  </w:style>
  <w:style w:type="character" w:customStyle="1" w:styleId="allowtextselection">
    <w:name w:val="allowtextselection"/>
    <w:basedOn w:val="Domylnaczcionkaakapitu"/>
    <w:rsid w:val="001015B8"/>
  </w:style>
  <w:style w:type="character" w:customStyle="1" w:styleId="ms-font-color-neutralsecondary">
    <w:name w:val="ms-font-color-neutralsecondary"/>
    <w:basedOn w:val="Domylnaczcionkaakapitu"/>
    <w:rsid w:val="001015B8"/>
  </w:style>
  <w:style w:type="paragraph" w:styleId="Tekstprzypisudolnego">
    <w:name w:val="footnote text"/>
    <w:aliases w:val="fn,Znak Znak Znak Znak,Znak Znak,Tekst przypisu,Podrozdział,Podrozdzia3,Tekst przypisu Znak Znak Znak Znak,Tekst przypisu Znak Znak Znak Znak Znak,Tekst przypisu Znak Znak Znak Znak Znak Znak Znak, Znak,Footnote Text Char1"/>
    <w:basedOn w:val="Normalny"/>
    <w:link w:val="TekstprzypisudolnegoZnak"/>
    <w:uiPriority w:val="99"/>
    <w:unhideWhenUsed/>
    <w:qFormat/>
    <w:rsid w:val="00EF1CAB"/>
    <w:pPr>
      <w:jc w:val="both"/>
    </w:pPr>
    <w:rPr>
      <w:sz w:val="20"/>
      <w:szCs w:val="20"/>
      <w:lang w:val="x-none" w:eastAsia="x-none"/>
    </w:rPr>
  </w:style>
  <w:style w:type="character" w:customStyle="1" w:styleId="TekstprzypisudolnegoZnak">
    <w:name w:val="Tekst przypisu dolnego Znak"/>
    <w:aliases w:val="fn Znak,Znak Znak Znak Znak Znak,Znak Znak Znak,Tekst przypisu Znak,Podrozdział Znak,Podrozdzia3 Znak,Tekst przypisu Znak Znak Znak Znak Znak1,Tekst przypisu Znak Znak Znak Znak Znak Znak, Znak Znak,Footnote Text Char1 Znak"/>
    <w:basedOn w:val="Domylnaczcionkaakapitu"/>
    <w:link w:val="Tekstprzypisudolnego"/>
    <w:uiPriority w:val="99"/>
    <w:qFormat/>
    <w:rsid w:val="00EF1CAB"/>
    <w:rPr>
      <w:rFonts w:ascii="Trebuchet MS" w:eastAsia="Times New Roman" w:hAnsi="Trebuchet MS" w:cs="Times New Roman"/>
      <w:sz w:val="20"/>
      <w:szCs w:val="20"/>
      <w:lang w:val="x-none" w:eastAsia="x-none"/>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EF1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581">
      <w:bodyDiv w:val="1"/>
      <w:marLeft w:val="0"/>
      <w:marRight w:val="0"/>
      <w:marTop w:val="0"/>
      <w:marBottom w:val="0"/>
      <w:divBdr>
        <w:top w:val="none" w:sz="0" w:space="0" w:color="auto"/>
        <w:left w:val="none" w:sz="0" w:space="0" w:color="auto"/>
        <w:bottom w:val="none" w:sz="0" w:space="0" w:color="auto"/>
        <w:right w:val="none" w:sz="0" w:space="0" w:color="auto"/>
      </w:divBdr>
    </w:div>
    <w:div w:id="55781089">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537743077">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047143112">
      <w:bodyDiv w:val="1"/>
      <w:marLeft w:val="0"/>
      <w:marRight w:val="0"/>
      <w:marTop w:val="0"/>
      <w:marBottom w:val="0"/>
      <w:divBdr>
        <w:top w:val="none" w:sz="0" w:space="0" w:color="auto"/>
        <w:left w:val="none" w:sz="0" w:space="0" w:color="auto"/>
        <w:bottom w:val="none" w:sz="0" w:space="0" w:color="auto"/>
        <w:right w:val="none" w:sz="0" w:space="0" w:color="auto"/>
      </w:divBdr>
      <w:divsChild>
        <w:div w:id="672536157">
          <w:marLeft w:val="0"/>
          <w:marRight w:val="0"/>
          <w:marTop w:val="0"/>
          <w:marBottom w:val="60"/>
          <w:divBdr>
            <w:top w:val="none" w:sz="0" w:space="0" w:color="auto"/>
            <w:left w:val="none" w:sz="0" w:space="0" w:color="auto"/>
            <w:bottom w:val="none" w:sz="0" w:space="0" w:color="auto"/>
            <w:right w:val="none" w:sz="0" w:space="0" w:color="auto"/>
          </w:divBdr>
          <w:divsChild>
            <w:div w:id="1946500508">
              <w:marLeft w:val="0"/>
              <w:marRight w:val="0"/>
              <w:marTop w:val="0"/>
              <w:marBottom w:val="0"/>
              <w:divBdr>
                <w:top w:val="none" w:sz="0" w:space="0" w:color="auto"/>
                <w:left w:val="none" w:sz="0" w:space="0" w:color="auto"/>
                <w:bottom w:val="none" w:sz="0" w:space="0" w:color="auto"/>
                <w:right w:val="none" w:sz="0" w:space="0" w:color="auto"/>
              </w:divBdr>
              <w:divsChild>
                <w:div w:id="187569643">
                  <w:marLeft w:val="0"/>
                  <w:marRight w:val="0"/>
                  <w:marTop w:val="0"/>
                  <w:marBottom w:val="0"/>
                  <w:divBdr>
                    <w:top w:val="none" w:sz="0" w:space="0" w:color="auto"/>
                    <w:left w:val="none" w:sz="0" w:space="0" w:color="auto"/>
                    <w:bottom w:val="none" w:sz="0" w:space="0" w:color="auto"/>
                    <w:right w:val="none" w:sz="0" w:space="0" w:color="auto"/>
                  </w:divBdr>
                  <w:divsChild>
                    <w:div w:id="362487543">
                      <w:marLeft w:val="0"/>
                      <w:marRight w:val="0"/>
                      <w:marTop w:val="0"/>
                      <w:marBottom w:val="30"/>
                      <w:divBdr>
                        <w:top w:val="none" w:sz="0" w:space="0" w:color="auto"/>
                        <w:left w:val="none" w:sz="0" w:space="0" w:color="auto"/>
                        <w:bottom w:val="none" w:sz="0" w:space="0" w:color="auto"/>
                        <w:right w:val="none" w:sz="0" w:space="0" w:color="auto"/>
                      </w:divBdr>
                      <w:divsChild>
                        <w:div w:id="185339515">
                          <w:marLeft w:val="0"/>
                          <w:marRight w:val="0"/>
                          <w:marTop w:val="0"/>
                          <w:marBottom w:val="0"/>
                          <w:divBdr>
                            <w:top w:val="none" w:sz="0" w:space="0" w:color="auto"/>
                            <w:left w:val="none" w:sz="0" w:space="0" w:color="auto"/>
                            <w:bottom w:val="none" w:sz="0" w:space="0" w:color="auto"/>
                            <w:right w:val="none" w:sz="0" w:space="0" w:color="auto"/>
                          </w:divBdr>
                          <w:divsChild>
                            <w:div w:id="95372206">
                              <w:marLeft w:val="0"/>
                              <w:marRight w:val="0"/>
                              <w:marTop w:val="0"/>
                              <w:marBottom w:val="0"/>
                              <w:divBdr>
                                <w:top w:val="none" w:sz="0" w:space="0" w:color="auto"/>
                                <w:left w:val="none" w:sz="0" w:space="0" w:color="auto"/>
                                <w:bottom w:val="none" w:sz="0" w:space="0" w:color="auto"/>
                                <w:right w:val="none" w:sz="0" w:space="0" w:color="auto"/>
                              </w:divBdr>
                              <w:divsChild>
                                <w:div w:id="706686092">
                                  <w:marLeft w:val="0"/>
                                  <w:marRight w:val="0"/>
                                  <w:marTop w:val="0"/>
                                  <w:marBottom w:val="0"/>
                                  <w:divBdr>
                                    <w:top w:val="none" w:sz="0" w:space="0" w:color="auto"/>
                                    <w:left w:val="none" w:sz="0" w:space="0" w:color="auto"/>
                                    <w:bottom w:val="none" w:sz="0" w:space="0" w:color="auto"/>
                                    <w:right w:val="none" w:sz="0" w:space="0" w:color="auto"/>
                                  </w:divBdr>
                                  <w:divsChild>
                                    <w:div w:id="24911185">
                                      <w:marLeft w:val="0"/>
                                      <w:marRight w:val="0"/>
                                      <w:marTop w:val="0"/>
                                      <w:marBottom w:val="0"/>
                                      <w:divBdr>
                                        <w:top w:val="none" w:sz="0" w:space="0" w:color="auto"/>
                                        <w:left w:val="none" w:sz="0" w:space="0" w:color="auto"/>
                                        <w:bottom w:val="none" w:sz="0" w:space="0" w:color="auto"/>
                                        <w:right w:val="none" w:sz="0" w:space="0" w:color="auto"/>
                                      </w:divBdr>
                                      <w:divsChild>
                                        <w:div w:id="749693766">
                                          <w:marLeft w:val="0"/>
                                          <w:marRight w:val="0"/>
                                          <w:marTop w:val="0"/>
                                          <w:marBottom w:val="0"/>
                                          <w:divBdr>
                                            <w:top w:val="none" w:sz="0" w:space="0" w:color="auto"/>
                                            <w:left w:val="none" w:sz="0" w:space="0" w:color="auto"/>
                                            <w:bottom w:val="none" w:sz="0" w:space="0" w:color="auto"/>
                                            <w:right w:val="none" w:sz="0" w:space="0" w:color="auto"/>
                                          </w:divBdr>
                                          <w:divsChild>
                                            <w:div w:id="1204560019">
                                              <w:marLeft w:val="0"/>
                                              <w:marRight w:val="0"/>
                                              <w:marTop w:val="0"/>
                                              <w:marBottom w:val="75"/>
                                              <w:divBdr>
                                                <w:top w:val="none" w:sz="0" w:space="0" w:color="auto"/>
                                                <w:left w:val="none" w:sz="0" w:space="0" w:color="auto"/>
                                                <w:bottom w:val="none" w:sz="0" w:space="0" w:color="auto"/>
                                                <w:right w:val="none" w:sz="0" w:space="0" w:color="auto"/>
                                              </w:divBdr>
                                              <w:divsChild>
                                                <w:div w:id="1512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7949">
                                  <w:marLeft w:val="0"/>
                                  <w:marRight w:val="0"/>
                                  <w:marTop w:val="0"/>
                                  <w:marBottom w:val="0"/>
                                  <w:divBdr>
                                    <w:top w:val="none" w:sz="0" w:space="0" w:color="auto"/>
                                    <w:left w:val="none" w:sz="0" w:space="0" w:color="auto"/>
                                    <w:bottom w:val="none" w:sz="0" w:space="0" w:color="auto"/>
                                    <w:right w:val="none" w:sz="0" w:space="0" w:color="auto"/>
                                  </w:divBdr>
                                  <w:divsChild>
                                    <w:div w:id="621427892">
                                      <w:marLeft w:val="0"/>
                                      <w:marRight w:val="0"/>
                                      <w:marTop w:val="0"/>
                                      <w:marBottom w:val="0"/>
                                      <w:divBdr>
                                        <w:top w:val="none" w:sz="0" w:space="0" w:color="auto"/>
                                        <w:left w:val="none" w:sz="0" w:space="0" w:color="auto"/>
                                        <w:bottom w:val="none" w:sz="0" w:space="0" w:color="auto"/>
                                        <w:right w:val="none" w:sz="0" w:space="0" w:color="auto"/>
                                      </w:divBdr>
                                      <w:divsChild>
                                        <w:div w:id="131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4564">
                                  <w:marLeft w:val="0"/>
                                  <w:marRight w:val="0"/>
                                  <w:marTop w:val="0"/>
                                  <w:marBottom w:val="0"/>
                                  <w:divBdr>
                                    <w:top w:val="none" w:sz="0" w:space="0" w:color="auto"/>
                                    <w:left w:val="none" w:sz="0" w:space="0" w:color="auto"/>
                                    <w:bottom w:val="none" w:sz="0" w:space="0" w:color="auto"/>
                                    <w:right w:val="none" w:sz="0" w:space="0" w:color="auto"/>
                                  </w:divBdr>
                                  <w:divsChild>
                                    <w:div w:id="1240753521">
                                      <w:marLeft w:val="0"/>
                                      <w:marRight w:val="0"/>
                                      <w:marTop w:val="0"/>
                                      <w:marBottom w:val="0"/>
                                      <w:divBdr>
                                        <w:top w:val="none" w:sz="0" w:space="0" w:color="auto"/>
                                        <w:left w:val="none" w:sz="0" w:space="0" w:color="auto"/>
                                        <w:bottom w:val="none" w:sz="0" w:space="0" w:color="auto"/>
                                        <w:right w:val="none" w:sz="0" w:space="0" w:color="auto"/>
                                      </w:divBdr>
                                      <w:divsChild>
                                        <w:div w:id="464397215">
                                          <w:marLeft w:val="0"/>
                                          <w:marRight w:val="0"/>
                                          <w:marTop w:val="0"/>
                                          <w:marBottom w:val="0"/>
                                          <w:divBdr>
                                            <w:top w:val="none" w:sz="0" w:space="0" w:color="auto"/>
                                            <w:left w:val="none" w:sz="0" w:space="0" w:color="auto"/>
                                            <w:bottom w:val="none" w:sz="0" w:space="0" w:color="auto"/>
                                            <w:right w:val="none" w:sz="0" w:space="0" w:color="auto"/>
                                          </w:divBdr>
                                          <w:divsChild>
                                            <w:div w:id="647051736">
                                              <w:marLeft w:val="0"/>
                                              <w:marRight w:val="0"/>
                                              <w:marTop w:val="0"/>
                                              <w:marBottom w:val="0"/>
                                              <w:divBdr>
                                                <w:top w:val="none" w:sz="0" w:space="0" w:color="auto"/>
                                                <w:left w:val="none" w:sz="0" w:space="0" w:color="auto"/>
                                                <w:bottom w:val="none" w:sz="0" w:space="0" w:color="auto"/>
                                                <w:right w:val="none" w:sz="0" w:space="0" w:color="auto"/>
                                              </w:divBdr>
                                            </w:div>
                                          </w:divsChild>
                                        </w:div>
                                        <w:div w:id="1947496014">
                                          <w:marLeft w:val="0"/>
                                          <w:marRight w:val="0"/>
                                          <w:marTop w:val="0"/>
                                          <w:marBottom w:val="0"/>
                                          <w:divBdr>
                                            <w:top w:val="none" w:sz="0" w:space="0" w:color="auto"/>
                                            <w:left w:val="none" w:sz="0" w:space="0" w:color="auto"/>
                                            <w:bottom w:val="none" w:sz="0" w:space="0" w:color="auto"/>
                                            <w:right w:val="none" w:sz="0" w:space="0" w:color="auto"/>
                                          </w:divBdr>
                                          <w:divsChild>
                                            <w:div w:id="532886901">
                                              <w:marLeft w:val="0"/>
                                              <w:marRight w:val="0"/>
                                              <w:marTop w:val="0"/>
                                              <w:marBottom w:val="0"/>
                                              <w:divBdr>
                                                <w:top w:val="none" w:sz="0" w:space="0" w:color="auto"/>
                                                <w:left w:val="none" w:sz="0" w:space="0" w:color="auto"/>
                                                <w:bottom w:val="none" w:sz="0" w:space="0" w:color="auto"/>
                                                <w:right w:val="none" w:sz="0" w:space="0" w:color="auto"/>
                                              </w:divBdr>
                                              <w:divsChild>
                                                <w:div w:id="1001740051">
                                                  <w:marLeft w:val="0"/>
                                                  <w:marRight w:val="0"/>
                                                  <w:marTop w:val="0"/>
                                                  <w:marBottom w:val="0"/>
                                                  <w:divBdr>
                                                    <w:top w:val="none" w:sz="0" w:space="0" w:color="auto"/>
                                                    <w:left w:val="none" w:sz="0" w:space="0" w:color="auto"/>
                                                    <w:bottom w:val="none" w:sz="0" w:space="0" w:color="auto"/>
                                                    <w:right w:val="none" w:sz="0" w:space="0" w:color="auto"/>
                                                  </w:divBdr>
                                                  <w:divsChild>
                                                    <w:div w:id="1744722278">
                                                      <w:marLeft w:val="0"/>
                                                      <w:marRight w:val="0"/>
                                                      <w:marTop w:val="0"/>
                                                      <w:marBottom w:val="0"/>
                                                      <w:divBdr>
                                                        <w:top w:val="none" w:sz="0" w:space="0" w:color="auto"/>
                                                        <w:left w:val="none" w:sz="0" w:space="0" w:color="auto"/>
                                                        <w:bottom w:val="none" w:sz="0" w:space="0" w:color="auto"/>
                                                        <w:right w:val="none" w:sz="0" w:space="0" w:color="auto"/>
                                                      </w:divBdr>
                                                      <w:divsChild>
                                                        <w:div w:id="1364869748">
                                                          <w:marLeft w:val="0"/>
                                                          <w:marRight w:val="0"/>
                                                          <w:marTop w:val="0"/>
                                                          <w:marBottom w:val="0"/>
                                                          <w:divBdr>
                                                            <w:top w:val="none" w:sz="0" w:space="0" w:color="auto"/>
                                                            <w:left w:val="none" w:sz="0" w:space="0" w:color="auto"/>
                                                            <w:bottom w:val="none" w:sz="0" w:space="0" w:color="auto"/>
                                                            <w:right w:val="none" w:sz="0" w:space="0" w:color="auto"/>
                                                          </w:divBdr>
                                                          <w:divsChild>
                                                            <w:div w:id="141510803">
                                                              <w:marLeft w:val="0"/>
                                                              <w:marRight w:val="0"/>
                                                              <w:marTop w:val="0"/>
                                                              <w:marBottom w:val="0"/>
                                                              <w:divBdr>
                                                                <w:top w:val="none" w:sz="0" w:space="0" w:color="auto"/>
                                                                <w:left w:val="none" w:sz="0" w:space="0" w:color="auto"/>
                                                                <w:bottom w:val="none" w:sz="0" w:space="0" w:color="auto"/>
                                                                <w:right w:val="none" w:sz="0" w:space="0" w:color="auto"/>
                                                              </w:divBdr>
                                                              <w:divsChild>
                                                                <w:div w:id="384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2862595">
          <w:marLeft w:val="930"/>
          <w:marRight w:val="0"/>
          <w:marTop w:val="180"/>
          <w:marBottom w:val="0"/>
          <w:divBdr>
            <w:top w:val="none" w:sz="0" w:space="0" w:color="auto"/>
            <w:left w:val="none" w:sz="0" w:space="0" w:color="auto"/>
            <w:bottom w:val="none" w:sz="0" w:space="0" w:color="auto"/>
            <w:right w:val="none" w:sz="0" w:space="0" w:color="auto"/>
          </w:divBdr>
          <w:divsChild>
            <w:div w:id="1202480871">
              <w:marLeft w:val="0"/>
              <w:marRight w:val="0"/>
              <w:marTop w:val="0"/>
              <w:marBottom w:val="0"/>
              <w:divBdr>
                <w:top w:val="none" w:sz="0" w:space="0" w:color="auto"/>
                <w:left w:val="none" w:sz="0" w:space="0" w:color="auto"/>
                <w:bottom w:val="none" w:sz="0" w:space="0" w:color="auto"/>
                <w:right w:val="none" w:sz="0" w:space="0" w:color="auto"/>
              </w:divBdr>
              <w:divsChild>
                <w:div w:id="1615205756">
                  <w:marLeft w:val="0"/>
                  <w:marRight w:val="0"/>
                  <w:marTop w:val="0"/>
                  <w:marBottom w:val="0"/>
                  <w:divBdr>
                    <w:top w:val="none" w:sz="0" w:space="0" w:color="auto"/>
                    <w:left w:val="none" w:sz="0" w:space="0" w:color="auto"/>
                    <w:bottom w:val="none" w:sz="0" w:space="0" w:color="auto"/>
                    <w:right w:val="none" w:sz="0" w:space="0" w:color="auto"/>
                  </w:divBdr>
                  <w:divsChild>
                    <w:div w:id="1313409337">
                      <w:marLeft w:val="0"/>
                      <w:marRight w:val="0"/>
                      <w:marTop w:val="0"/>
                      <w:marBottom w:val="0"/>
                      <w:divBdr>
                        <w:top w:val="none" w:sz="0" w:space="0" w:color="auto"/>
                        <w:left w:val="none" w:sz="0" w:space="0" w:color="auto"/>
                        <w:bottom w:val="none" w:sz="0" w:space="0" w:color="auto"/>
                        <w:right w:val="none" w:sz="0" w:space="0" w:color="auto"/>
                      </w:divBdr>
                      <w:divsChild>
                        <w:div w:id="1032999820">
                          <w:marLeft w:val="0"/>
                          <w:marRight w:val="0"/>
                          <w:marTop w:val="0"/>
                          <w:marBottom w:val="0"/>
                          <w:divBdr>
                            <w:top w:val="none" w:sz="0" w:space="0" w:color="auto"/>
                            <w:left w:val="none" w:sz="0" w:space="0" w:color="auto"/>
                            <w:bottom w:val="none" w:sz="0" w:space="0" w:color="auto"/>
                            <w:right w:val="none" w:sz="0" w:space="0" w:color="auto"/>
                          </w:divBdr>
                          <w:divsChild>
                            <w:div w:id="857735767">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2142383872">
                                      <w:marLeft w:val="0"/>
                                      <w:marRight w:val="0"/>
                                      <w:marTop w:val="0"/>
                                      <w:marBottom w:val="0"/>
                                      <w:divBdr>
                                        <w:top w:val="none" w:sz="0" w:space="0" w:color="auto"/>
                                        <w:left w:val="none" w:sz="0" w:space="0" w:color="auto"/>
                                        <w:bottom w:val="none" w:sz="0" w:space="0" w:color="auto"/>
                                        <w:right w:val="none" w:sz="0" w:space="0" w:color="auto"/>
                                      </w:divBdr>
                                    </w:div>
                                    <w:div w:id="849637847">
                                      <w:marLeft w:val="0"/>
                                      <w:marRight w:val="0"/>
                                      <w:marTop w:val="0"/>
                                      <w:marBottom w:val="0"/>
                                      <w:divBdr>
                                        <w:top w:val="none" w:sz="0" w:space="0" w:color="auto"/>
                                        <w:left w:val="none" w:sz="0" w:space="0" w:color="auto"/>
                                        <w:bottom w:val="none" w:sz="0" w:space="0" w:color="auto"/>
                                        <w:right w:val="none" w:sz="0" w:space="0" w:color="auto"/>
                                      </w:divBdr>
                                    </w:div>
                                    <w:div w:id="1570770738">
                                      <w:marLeft w:val="0"/>
                                      <w:marRight w:val="0"/>
                                      <w:marTop w:val="0"/>
                                      <w:marBottom w:val="0"/>
                                      <w:divBdr>
                                        <w:top w:val="none" w:sz="0" w:space="0" w:color="auto"/>
                                        <w:left w:val="none" w:sz="0" w:space="0" w:color="auto"/>
                                        <w:bottom w:val="none" w:sz="0" w:space="0" w:color="auto"/>
                                        <w:right w:val="none" w:sz="0" w:space="0" w:color="auto"/>
                                      </w:divBdr>
                                    </w:div>
                                    <w:div w:id="271015152">
                                      <w:marLeft w:val="0"/>
                                      <w:marRight w:val="0"/>
                                      <w:marTop w:val="0"/>
                                      <w:marBottom w:val="0"/>
                                      <w:divBdr>
                                        <w:top w:val="none" w:sz="0" w:space="0" w:color="auto"/>
                                        <w:left w:val="none" w:sz="0" w:space="0" w:color="auto"/>
                                        <w:bottom w:val="none" w:sz="0" w:space="0" w:color="auto"/>
                                        <w:right w:val="none" w:sz="0" w:space="0" w:color="auto"/>
                                      </w:divBdr>
                                    </w:div>
                                    <w:div w:id="2135588762">
                                      <w:marLeft w:val="0"/>
                                      <w:marRight w:val="0"/>
                                      <w:marTop w:val="0"/>
                                      <w:marBottom w:val="0"/>
                                      <w:divBdr>
                                        <w:top w:val="none" w:sz="0" w:space="0" w:color="auto"/>
                                        <w:left w:val="none" w:sz="0" w:space="0" w:color="auto"/>
                                        <w:bottom w:val="none" w:sz="0" w:space="0" w:color="auto"/>
                                        <w:right w:val="none" w:sz="0" w:space="0" w:color="auto"/>
                                      </w:divBdr>
                                    </w:div>
                                    <w:div w:id="1713798591">
                                      <w:marLeft w:val="0"/>
                                      <w:marRight w:val="0"/>
                                      <w:marTop w:val="0"/>
                                      <w:marBottom w:val="0"/>
                                      <w:divBdr>
                                        <w:top w:val="none" w:sz="0" w:space="0" w:color="auto"/>
                                        <w:left w:val="none" w:sz="0" w:space="0" w:color="auto"/>
                                        <w:bottom w:val="none" w:sz="0" w:space="0" w:color="auto"/>
                                        <w:right w:val="none" w:sz="0" w:space="0" w:color="auto"/>
                                      </w:divBdr>
                                    </w:div>
                                    <w:div w:id="841354826">
                                      <w:marLeft w:val="0"/>
                                      <w:marRight w:val="0"/>
                                      <w:marTop w:val="0"/>
                                      <w:marBottom w:val="0"/>
                                      <w:divBdr>
                                        <w:top w:val="none" w:sz="0" w:space="0" w:color="auto"/>
                                        <w:left w:val="none" w:sz="0" w:space="0" w:color="auto"/>
                                        <w:bottom w:val="none" w:sz="0" w:space="0" w:color="auto"/>
                                        <w:right w:val="none" w:sz="0" w:space="0" w:color="auto"/>
                                      </w:divBdr>
                                    </w:div>
                                    <w:div w:id="779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9066">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f.gov.pl/jak-pomaga-rzecznik-finansowy/porad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mailto:porady@dlakonsument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9AE5656E-4961-4049-AB4F-77AFC59F3243}">
  <ds:schemaRefs>
    <ds:schemaRef ds:uri="http://schemas.openxmlformats.org/officeDocument/2006/bibliography"/>
  </ds:schemaRefs>
</ds:datastoreItem>
</file>

<file path=customXml/itemProps2.xml><?xml version="1.0" encoding="utf-8"?>
<ds:datastoreItem xmlns:ds="http://schemas.openxmlformats.org/officeDocument/2006/customXml" ds:itemID="{08FFD813-1C63-4830-927D-4792E018D37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1049</Words>
  <Characters>5980</Characters>
  <Application>Microsoft Office Word</Application>
  <DocSecurity>0</DocSecurity>
  <Lines>49</Lines>
  <Paragraphs>14</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cp:lastModifiedBy>
  <cp:revision>12</cp:revision>
  <cp:lastPrinted>2023-09-29T08:41:00Z</cp:lastPrinted>
  <dcterms:created xsi:type="dcterms:W3CDTF">2023-12-08T10:07:00Z</dcterms:created>
  <dcterms:modified xsi:type="dcterms:W3CDTF">2023-12-11T12:10:00Z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646df23e-8c8b-45f0-9abf-3a4445a52e80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