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4B97" w14:textId="1811FFF5" w:rsidR="00DF0041" w:rsidRPr="00DF0041" w:rsidRDefault="00DF0041" w:rsidP="00DF0041">
      <w:pPr>
        <w:spacing w:after="240" w:line="360" w:lineRule="auto"/>
        <w:rPr>
          <w:sz w:val="32"/>
          <w:szCs w:val="32"/>
        </w:rPr>
      </w:pPr>
      <w:bookmarkStart w:id="0" w:name="_Hlk181008104"/>
      <w:bookmarkStart w:id="1" w:name="_GoBack"/>
      <w:bookmarkEnd w:id="1"/>
      <w:r w:rsidRPr="00DF0041">
        <w:rPr>
          <w:sz w:val="32"/>
          <w:szCs w:val="32"/>
        </w:rPr>
        <w:t>Z</w:t>
      </w:r>
      <w:r>
        <w:rPr>
          <w:sz w:val="32"/>
          <w:szCs w:val="32"/>
        </w:rPr>
        <w:t xml:space="preserve">atory płatnicze </w:t>
      </w:r>
      <w:r w:rsidR="002C0CD5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C0CD5">
        <w:rPr>
          <w:sz w:val="32"/>
          <w:szCs w:val="32"/>
        </w:rPr>
        <w:t>kolejne postępowania</w:t>
      </w:r>
    </w:p>
    <w:p w14:paraId="25ADBE31" w14:textId="77777777" w:rsidR="00DF0041" w:rsidRPr="00DF0041" w:rsidRDefault="00DF0041" w:rsidP="00DF0041">
      <w:pPr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cs="Tahoma"/>
          <w:b/>
          <w:bCs/>
          <w:color w:val="000000" w:themeColor="text1"/>
          <w:sz w:val="22"/>
          <w:szCs w:val="24"/>
          <w:lang w:eastAsia="en-GB"/>
        </w:rPr>
      </w:pPr>
      <w:r w:rsidRPr="00DF0041">
        <w:rPr>
          <w:rFonts w:cs="Tahoma"/>
          <w:b/>
          <w:bCs/>
          <w:color w:val="000000" w:themeColor="text1"/>
          <w:sz w:val="22"/>
          <w:szCs w:val="24"/>
          <w:lang w:eastAsia="en-GB"/>
        </w:rPr>
        <w:t>Prezes UOKiK Tomasz Chróstny wszczął sześć postępowań wobec spółek, które nie płacą w terminie swoim dostawcom.</w:t>
      </w:r>
    </w:p>
    <w:p w14:paraId="15662B94" w14:textId="77777777" w:rsidR="00DF0041" w:rsidRPr="00DF0041" w:rsidRDefault="00DF0041" w:rsidP="00DF0041">
      <w:pPr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cs="Tahoma"/>
          <w:b/>
          <w:bCs/>
          <w:color w:val="000000" w:themeColor="text1"/>
          <w:sz w:val="22"/>
          <w:szCs w:val="24"/>
          <w:lang w:eastAsia="en-GB"/>
        </w:rPr>
      </w:pPr>
      <w:r w:rsidRPr="00DF0041">
        <w:rPr>
          <w:rFonts w:cs="Tahoma"/>
          <w:b/>
          <w:bCs/>
          <w:color w:val="000000" w:themeColor="text1"/>
          <w:sz w:val="22"/>
          <w:szCs w:val="24"/>
          <w:lang w:eastAsia="en-GB"/>
        </w:rPr>
        <w:t>Wcześniej wystosował do nich tzw. wystąpienia miękkie, aby zwrócić uwagę na nieprawidłowości w regulowaniu zobowiązań.</w:t>
      </w:r>
    </w:p>
    <w:p w14:paraId="773DB83D" w14:textId="0FB491B9" w:rsidR="00DF0041" w:rsidRDefault="00DF0041" w:rsidP="00595F41">
      <w:pPr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cs="Tahoma"/>
          <w:b/>
          <w:bCs/>
          <w:color w:val="000000" w:themeColor="text1"/>
          <w:sz w:val="22"/>
          <w:szCs w:val="24"/>
          <w:lang w:eastAsia="en-GB"/>
        </w:rPr>
      </w:pPr>
      <w:r w:rsidRPr="00DF0041">
        <w:rPr>
          <w:rFonts w:cs="Tahoma"/>
          <w:b/>
          <w:bCs/>
          <w:color w:val="000000" w:themeColor="text1"/>
          <w:sz w:val="22"/>
          <w:szCs w:val="24"/>
          <w:lang w:eastAsia="en-GB"/>
        </w:rPr>
        <w:t xml:space="preserve">Od początku 2024 r. Prezes Urzędu wystosował blisko 40 takich wystąpień. </w:t>
      </w:r>
    </w:p>
    <w:p w14:paraId="1D473171" w14:textId="77777777" w:rsidR="002C0CD5" w:rsidRPr="00DF0041" w:rsidRDefault="002C0CD5" w:rsidP="002C0CD5">
      <w:pPr>
        <w:shd w:val="clear" w:color="auto" w:fill="FFFFFF"/>
        <w:spacing w:after="120" w:line="360" w:lineRule="auto"/>
        <w:ind w:left="720"/>
        <w:jc w:val="both"/>
        <w:rPr>
          <w:rFonts w:cs="Tahoma"/>
          <w:b/>
          <w:bCs/>
          <w:color w:val="000000" w:themeColor="text1"/>
          <w:sz w:val="22"/>
          <w:szCs w:val="24"/>
          <w:lang w:eastAsia="en-GB"/>
        </w:rPr>
      </w:pPr>
    </w:p>
    <w:p w14:paraId="15D20129" w14:textId="77777777" w:rsidR="00DF0041" w:rsidRPr="00DF0041" w:rsidRDefault="00DF0041" w:rsidP="00DF0041">
      <w:pPr>
        <w:spacing w:line="360" w:lineRule="auto"/>
        <w:jc w:val="both"/>
        <w:rPr>
          <w:sz w:val="22"/>
        </w:rPr>
      </w:pPr>
      <w:r w:rsidRPr="00DF0041" w:rsidDel="00E938C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DF0041">
        <w:rPr>
          <w:b/>
          <w:sz w:val="22"/>
        </w:rPr>
        <w:t>[Warszawa, 6 listopada 2024 r.]</w:t>
      </w:r>
      <w:r w:rsidRPr="00DF0041">
        <w:rPr>
          <w:sz w:val="22"/>
        </w:rPr>
        <w:t xml:space="preserve"> Prezes UOKiK wszczął sześć nowych postępowań w sprawach nadmiernego opóźniania się ze spełnianiem świadczeń pieniężnych przez spółki: Bridgestone Poznań, Bruk-Bet, Eaton Automotive Systems, Metalkas, Przedsiębiorstwo Dystrybucji Farmaceutycznej SLAWEX oraz Rockfin.</w:t>
      </w:r>
    </w:p>
    <w:p w14:paraId="34834542" w14:textId="77777777" w:rsidR="00DF0041" w:rsidRPr="00DF0041" w:rsidRDefault="00DF0041" w:rsidP="00DF0041">
      <w:pPr>
        <w:autoSpaceDE w:val="0"/>
        <w:autoSpaceDN w:val="0"/>
        <w:adjustRightInd w:val="0"/>
        <w:rPr>
          <w:rFonts w:cs="Segoe UI"/>
          <w:color w:val="000000" w:themeColor="text1"/>
          <w:sz w:val="22"/>
        </w:rPr>
      </w:pPr>
    </w:p>
    <w:p w14:paraId="2B04B3C5" w14:textId="77777777" w:rsidR="00DF0041" w:rsidRPr="00DF0041" w:rsidRDefault="00DF0041" w:rsidP="00DF0041">
      <w:pPr>
        <w:spacing w:after="240" w:line="360" w:lineRule="auto"/>
        <w:jc w:val="both"/>
        <w:rPr>
          <w:rFonts w:cs="Segoe UI"/>
          <w:b/>
          <w:iCs/>
          <w:color w:val="222222"/>
          <w:sz w:val="22"/>
          <w:lang w:eastAsia="pl-PL"/>
        </w:rPr>
      </w:pPr>
      <w:r w:rsidRPr="00DF0041">
        <w:rPr>
          <w:rFonts w:cs="Segoe UI"/>
          <w:b/>
          <w:iCs/>
          <w:color w:val="222222"/>
          <w:sz w:val="22"/>
          <w:lang w:eastAsia="pl-PL"/>
        </w:rPr>
        <w:t>Wystąpienia miękkie</w:t>
      </w:r>
    </w:p>
    <w:p w14:paraId="6E714848" w14:textId="77777777" w:rsidR="00DF0041" w:rsidRPr="00DF0041" w:rsidRDefault="00DF0041" w:rsidP="00DF0041">
      <w:pPr>
        <w:spacing w:after="240" w:line="360" w:lineRule="auto"/>
        <w:jc w:val="both"/>
        <w:rPr>
          <w:rFonts w:cs="Arial"/>
          <w:bCs/>
          <w:color w:val="000000" w:themeColor="text1"/>
          <w:sz w:val="22"/>
          <w:lang w:eastAsia="en-GB"/>
        </w:rPr>
      </w:pPr>
      <w:r w:rsidRPr="00DF0041">
        <w:rPr>
          <w:rFonts w:cs="Arial"/>
          <w:bCs/>
          <w:color w:val="000000" w:themeColor="text1"/>
          <w:sz w:val="22"/>
          <w:lang w:eastAsia="en-GB"/>
        </w:rPr>
        <w:t xml:space="preserve">Przed wszczęciem postępowań Prezes UOKiK wystosował do tych podmiotów tzw. wystąpienia miękkie. Miały one na celu zasygnalizowanie spółkom zauważone nieprawidłowości w obszarze praktyk płatniczych i zdyscyplinowanie ich do niezwłocznej poprawy. </w:t>
      </w:r>
    </w:p>
    <w:p w14:paraId="0AEEE972" w14:textId="01CC2503" w:rsidR="00DF0041" w:rsidRPr="00DF0041" w:rsidRDefault="00DF0041" w:rsidP="00DF0041">
      <w:pPr>
        <w:spacing w:after="240" w:line="360" w:lineRule="auto"/>
        <w:jc w:val="both"/>
        <w:rPr>
          <w:rFonts w:cs="Arial"/>
          <w:bCs/>
          <w:color w:val="000000" w:themeColor="text1"/>
          <w:sz w:val="22"/>
          <w:lang w:eastAsia="en-GB"/>
        </w:rPr>
      </w:pPr>
      <w:r w:rsidRPr="00DF0041">
        <w:rPr>
          <w:rFonts w:cs="Arial"/>
          <w:bCs/>
          <w:color w:val="000000" w:themeColor="text1"/>
          <w:sz w:val="22"/>
          <w:lang w:eastAsia="en-GB"/>
        </w:rPr>
        <w:t xml:space="preserve">- </w:t>
      </w:r>
      <w:r w:rsidRPr="00DF0041">
        <w:rPr>
          <w:rFonts w:cs="Arial"/>
          <w:bCs/>
          <w:i/>
          <w:color w:val="000000" w:themeColor="text1"/>
          <w:sz w:val="22"/>
          <w:lang w:eastAsia="en-GB"/>
        </w:rPr>
        <w:t>Wystąpienia miękkie pozwalają szybko zareagować na dostrzeżone nieprawidłowości i potencjalny zator płatniczy, dając jednocześnie przedsiębiorcy możliwość niezwłocznego uregulowania zaległości</w:t>
      </w:r>
      <w:r w:rsidRPr="00DF0041">
        <w:rPr>
          <w:rFonts w:cs="Arial"/>
          <w:bCs/>
          <w:color w:val="000000" w:themeColor="text1"/>
          <w:sz w:val="22"/>
          <w:lang w:eastAsia="en-GB"/>
        </w:rPr>
        <w:t xml:space="preserve">. </w:t>
      </w:r>
      <w:r w:rsidRPr="00DF0041">
        <w:rPr>
          <w:rFonts w:cs="Arial"/>
          <w:bCs/>
          <w:i/>
          <w:color w:val="000000" w:themeColor="text1"/>
          <w:sz w:val="22"/>
          <w:lang w:eastAsia="en-GB"/>
        </w:rPr>
        <w:t>Nasze analizy wskazują, że prawie połowa przedsiębiorców, do których wystosowaliśmy wystąpienia miękkie w 2023 r</w:t>
      </w:r>
      <w:r w:rsidR="002C0CD5">
        <w:rPr>
          <w:rFonts w:cs="Arial"/>
          <w:bCs/>
          <w:i/>
          <w:color w:val="000000" w:themeColor="text1"/>
          <w:sz w:val="22"/>
          <w:lang w:eastAsia="en-GB"/>
        </w:rPr>
        <w:t>oku,</w:t>
      </w:r>
      <w:r w:rsidRPr="00DF0041">
        <w:rPr>
          <w:rFonts w:cs="Arial"/>
          <w:bCs/>
          <w:i/>
          <w:color w:val="000000" w:themeColor="text1"/>
          <w:sz w:val="22"/>
          <w:lang w:eastAsia="en-GB"/>
        </w:rPr>
        <w:t xml:space="preserve"> poprawiła swoją </w:t>
      </w:r>
      <w:r w:rsidR="002C0CD5">
        <w:rPr>
          <w:rFonts w:cs="Arial"/>
          <w:bCs/>
          <w:i/>
          <w:color w:val="000000" w:themeColor="text1"/>
          <w:sz w:val="22"/>
          <w:lang w:eastAsia="en-GB"/>
        </w:rPr>
        <w:t>dyscyplinę</w:t>
      </w:r>
      <w:r w:rsidRPr="00DF0041">
        <w:rPr>
          <w:rFonts w:cs="Arial"/>
          <w:bCs/>
          <w:i/>
          <w:color w:val="000000" w:themeColor="text1"/>
          <w:sz w:val="22"/>
          <w:lang w:eastAsia="en-GB"/>
        </w:rPr>
        <w:t xml:space="preserve"> płatniczą. </w:t>
      </w:r>
      <w:r w:rsidR="002C0CD5">
        <w:rPr>
          <w:rFonts w:cs="Arial"/>
          <w:bCs/>
          <w:i/>
          <w:color w:val="000000" w:themeColor="text1"/>
          <w:sz w:val="22"/>
          <w:lang w:eastAsia="en-GB"/>
        </w:rPr>
        <w:t>W</w:t>
      </w:r>
      <w:r w:rsidRPr="00DF0041">
        <w:rPr>
          <w:rFonts w:cs="Arial"/>
          <w:bCs/>
          <w:i/>
          <w:color w:val="000000" w:themeColor="text1"/>
          <w:sz w:val="22"/>
          <w:lang w:eastAsia="en-GB"/>
        </w:rPr>
        <w:t xml:space="preserve"> najbliższym czasie planujemy kolejn</w:t>
      </w:r>
      <w:r w:rsidR="002C0CD5">
        <w:rPr>
          <w:rFonts w:cs="Arial"/>
          <w:bCs/>
          <w:i/>
          <w:color w:val="000000" w:themeColor="text1"/>
          <w:sz w:val="22"/>
          <w:lang w:eastAsia="en-GB"/>
        </w:rPr>
        <w:t>e wystąpienia do przedsiębiorców</w:t>
      </w:r>
      <w:r w:rsidRPr="00DF0041">
        <w:rPr>
          <w:rFonts w:cs="Arial"/>
          <w:bCs/>
          <w:i/>
          <w:color w:val="000000" w:themeColor="text1"/>
          <w:sz w:val="22"/>
          <w:lang w:eastAsia="en-GB"/>
        </w:rPr>
        <w:t>. Jednocześnie brak poprawy</w:t>
      </w:r>
      <w:r w:rsidR="002C0CD5">
        <w:rPr>
          <w:rFonts w:cs="Arial"/>
          <w:bCs/>
          <w:i/>
          <w:color w:val="000000" w:themeColor="text1"/>
          <w:sz w:val="22"/>
          <w:lang w:eastAsia="en-GB"/>
        </w:rPr>
        <w:t xml:space="preserve"> kultury płatniczej</w:t>
      </w:r>
      <w:r w:rsidRPr="00DF0041">
        <w:rPr>
          <w:rFonts w:cs="Arial"/>
          <w:bCs/>
          <w:i/>
          <w:color w:val="000000" w:themeColor="text1"/>
          <w:sz w:val="22"/>
          <w:lang w:eastAsia="en-GB"/>
        </w:rPr>
        <w:t xml:space="preserve">, tak jak w przypadku tych 6 podmiotów, </w:t>
      </w:r>
      <w:r w:rsidR="002C0CD5" w:rsidRPr="00DF0041">
        <w:rPr>
          <w:rFonts w:cs="Arial"/>
          <w:bCs/>
          <w:i/>
          <w:color w:val="000000" w:themeColor="text1"/>
          <w:sz w:val="22"/>
          <w:lang w:eastAsia="en-GB"/>
        </w:rPr>
        <w:t xml:space="preserve">powoduje </w:t>
      </w:r>
      <w:r w:rsidRPr="00DF0041">
        <w:rPr>
          <w:rFonts w:cs="Arial"/>
          <w:bCs/>
          <w:i/>
          <w:color w:val="000000" w:themeColor="text1"/>
          <w:sz w:val="22"/>
          <w:lang w:eastAsia="en-GB"/>
        </w:rPr>
        <w:t>wszczęcie postępowań administracyjnych – mówi Prezes UOKiK Tomasz Chróstny.</w:t>
      </w:r>
    </w:p>
    <w:p w14:paraId="0A7E747D" w14:textId="4F406E41" w:rsidR="00DF0041" w:rsidRDefault="00DF0041" w:rsidP="00DF0041">
      <w:pPr>
        <w:spacing w:after="240" w:line="360" w:lineRule="auto"/>
        <w:jc w:val="both"/>
        <w:rPr>
          <w:rFonts w:cs="Arial"/>
          <w:bCs/>
          <w:color w:val="000000" w:themeColor="text1"/>
          <w:sz w:val="22"/>
          <w:lang w:eastAsia="en-GB"/>
        </w:rPr>
      </w:pPr>
      <w:r w:rsidRPr="00DF0041">
        <w:rPr>
          <w:rFonts w:cs="Arial"/>
          <w:bCs/>
          <w:color w:val="000000" w:themeColor="text1"/>
          <w:sz w:val="22"/>
          <w:lang w:eastAsia="en-GB"/>
        </w:rPr>
        <w:t xml:space="preserve">Wystąpienia wpisują się również w szeroko pojętą prewencję, kształtują świadomość i kulturę płatniczą przedsiębiorców oraz umożliwiają zmianę praktyki konkretnego przedsiębiorcy. Od początku 2024 r. Prezes UOKiK wystosował wystąpienia miękkie do 37 przedsiębiorców. </w:t>
      </w:r>
    </w:p>
    <w:p w14:paraId="75D281E9" w14:textId="77777777" w:rsidR="002C0CD5" w:rsidRPr="00DF0041" w:rsidRDefault="002C0CD5" w:rsidP="00DF0041">
      <w:pPr>
        <w:spacing w:after="240" w:line="360" w:lineRule="auto"/>
        <w:jc w:val="both"/>
        <w:rPr>
          <w:rFonts w:cs="Arial"/>
          <w:bCs/>
          <w:color w:val="000000" w:themeColor="text1"/>
          <w:sz w:val="22"/>
          <w:lang w:eastAsia="en-GB"/>
        </w:rPr>
      </w:pPr>
    </w:p>
    <w:p w14:paraId="30478A1F" w14:textId="77777777" w:rsidR="00DF0041" w:rsidRPr="00DF0041" w:rsidRDefault="00DF0041" w:rsidP="00DF0041">
      <w:pPr>
        <w:spacing w:after="240" w:line="360" w:lineRule="auto"/>
        <w:jc w:val="both"/>
        <w:rPr>
          <w:rFonts w:eastAsiaTheme="minorEastAsia" w:cs="Calibri"/>
          <w:b/>
          <w:color w:val="000000"/>
          <w:sz w:val="22"/>
          <w:szCs w:val="20"/>
          <w:lang w:eastAsia="pl-PL"/>
        </w:rPr>
      </w:pPr>
      <w:r w:rsidRPr="00DF0041">
        <w:rPr>
          <w:rFonts w:eastAsiaTheme="minorEastAsia" w:cs="Calibri"/>
          <w:b/>
          <w:color w:val="000000"/>
          <w:sz w:val="22"/>
          <w:szCs w:val="20"/>
          <w:lang w:eastAsia="pl-PL"/>
        </w:rPr>
        <w:lastRenderedPageBreak/>
        <w:t>Jakie kary grożą przedsiębiorcom?</w:t>
      </w:r>
    </w:p>
    <w:p w14:paraId="438A8F45" w14:textId="77777777" w:rsidR="00DF0041" w:rsidRPr="00DF0041" w:rsidRDefault="00DF0041" w:rsidP="00DF0041">
      <w:pPr>
        <w:spacing w:line="360" w:lineRule="auto"/>
        <w:jc w:val="both"/>
        <w:rPr>
          <w:color w:val="538135" w:themeColor="accent6" w:themeShade="BF"/>
          <w:sz w:val="22"/>
        </w:rPr>
      </w:pPr>
      <w:r w:rsidRPr="00DF0041">
        <w:rPr>
          <w:color w:val="000000" w:themeColor="text1"/>
          <w:sz w:val="22"/>
          <w:shd w:val="clear" w:color="auto" w:fill="FFFFFF"/>
        </w:rPr>
        <w:t xml:space="preserve">Prezes UOKiK będzie wyliczał kary pieniężne dla przedsiębiorców na podstawie znowelizowanej w 2022 r. </w:t>
      </w:r>
      <w:r w:rsidRPr="00DF0041">
        <w:rPr>
          <w:sz w:val="22"/>
          <w:shd w:val="clear" w:color="auto" w:fill="FFFFFF"/>
        </w:rPr>
        <w:t>ustawy o przeciwdziałaniu nadmiernym opóźnieniom w spełnianiu świadczeń pieniężnych. Wysokość k</w:t>
      </w:r>
      <w:r w:rsidRPr="00DF0041">
        <w:rPr>
          <w:sz w:val="22"/>
        </w:rPr>
        <w:t xml:space="preserve">ary będzie ustalana dwuetapowo. W pierwszym etapie wyliczana będzie maksymalna kara pieniężna na podstawie wzoru podanego w ustawie antyzatorowej. W drugim etapie Prezes UOKiK dokona miarkowania kary w oparciu o dodatkowe okoliczności wymienione w Ustawie.  Weźmie pod uwagę </w:t>
      </w:r>
      <w:r w:rsidRPr="00DF0041">
        <w:rPr>
          <w:sz w:val="22"/>
          <w:shd w:val="clear" w:color="auto" w:fill="FFFFFF"/>
        </w:rPr>
        <w:t xml:space="preserve">nie tylko wartość przeterminowanych płatności i długość opóźnień, lecz również wagę i okoliczności naruszenia, działania podjęte przez przedsiębiorcę </w:t>
      </w:r>
      <w:r w:rsidRPr="00DF0041">
        <w:rPr>
          <w:color w:val="000000" w:themeColor="text1"/>
          <w:sz w:val="22"/>
          <w:shd w:val="clear" w:color="auto" w:fill="FFFFFF"/>
        </w:rPr>
        <w:t>z własnej inicjatywy w celu zaprzestania naruszenia oraz współpracę z Urzędem w toku postępowania.</w:t>
      </w:r>
    </w:p>
    <w:p w14:paraId="35A712E6" w14:textId="77777777" w:rsidR="00DF0041" w:rsidRPr="00DF0041" w:rsidRDefault="00DF0041" w:rsidP="00DF0041">
      <w:pPr>
        <w:spacing w:after="240" w:line="360" w:lineRule="auto"/>
        <w:jc w:val="both"/>
        <w:rPr>
          <w:color w:val="000000" w:themeColor="text1"/>
          <w:sz w:val="22"/>
          <w:shd w:val="clear" w:color="auto" w:fill="FFFFFF"/>
        </w:rPr>
      </w:pPr>
    </w:p>
    <w:p w14:paraId="658CCA4F" w14:textId="77777777" w:rsidR="00DF0041" w:rsidRPr="00DF0041" w:rsidRDefault="00DF0041" w:rsidP="00DF0041">
      <w:pPr>
        <w:spacing w:after="240" w:line="360" w:lineRule="auto"/>
        <w:rPr>
          <w:b/>
          <w:sz w:val="22"/>
          <w:szCs w:val="24"/>
          <w:lang w:eastAsia="en-GB"/>
        </w:rPr>
      </w:pPr>
      <w:r w:rsidRPr="00DF0041">
        <w:rPr>
          <w:b/>
          <w:sz w:val="22"/>
          <w:szCs w:val="24"/>
          <w:lang w:eastAsia="en-GB"/>
        </w:rPr>
        <w:t>Wejdź na stronę poświęconą zatorom płatniczym</w:t>
      </w:r>
    </w:p>
    <w:p w14:paraId="653A20D9" w14:textId="77777777" w:rsidR="00DF0041" w:rsidRPr="00DF0041" w:rsidRDefault="00DF0041" w:rsidP="00DF0041">
      <w:pPr>
        <w:spacing w:after="240" w:line="360" w:lineRule="auto"/>
        <w:jc w:val="both"/>
        <w:rPr>
          <w:sz w:val="22"/>
          <w:szCs w:val="24"/>
          <w:lang w:eastAsia="en-GB"/>
        </w:rPr>
      </w:pPr>
      <w:r w:rsidRPr="00DF0041">
        <w:rPr>
          <w:sz w:val="22"/>
          <w:szCs w:val="24"/>
          <w:lang w:eastAsia="en-GB"/>
        </w:rPr>
        <w:t xml:space="preserve">Najważniejsze informacje o kompetencjach Prezesa UOKiK w obszarze zatorów płatniczych można znaleźć na dedykowanej stronie internetowej. Czym są zatory płatnicze, kiedy może zająć się nimi Prezes Urzędu, jak można zgłosić przedsiębiorcę nie wywiązującego się z zobowiązań i kto może to zrobić? Odpowiedzi na te i wiele innych pytań znajdziesz na stronie </w:t>
      </w:r>
      <w:hyperlink r:id="rId9" w:history="1">
        <w:r w:rsidRPr="00DF0041">
          <w:rPr>
            <w:color w:val="0000FF"/>
            <w:sz w:val="22"/>
            <w:szCs w:val="24"/>
            <w:u w:val="single"/>
            <w:lang w:eastAsia="en-GB"/>
          </w:rPr>
          <w:t>https://uokik.gov.pl/zatory-platnicze</w:t>
        </w:r>
      </w:hyperlink>
      <w:r w:rsidRPr="00DF0041">
        <w:rPr>
          <w:sz w:val="22"/>
          <w:szCs w:val="24"/>
          <w:lang w:eastAsia="en-GB"/>
        </w:rPr>
        <w:t xml:space="preserve"> </w:t>
      </w:r>
    </w:p>
    <w:bookmarkEnd w:id="0"/>
    <w:p w14:paraId="020B111C" w14:textId="77777777" w:rsidR="00DF0041" w:rsidRPr="00DF0041" w:rsidRDefault="00DF0041" w:rsidP="00DF0041"/>
    <w:p w14:paraId="7D9BFE57" w14:textId="77777777" w:rsidR="00DF0041" w:rsidRPr="00DF0041" w:rsidRDefault="00DF0041" w:rsidP="00DF0041"/>
    <w:p w14:paraId="64793F06" w14:textId="77777777" w:rsidR="00DF0041" w:rsidRPr="00DF0041" w:rsidRDefault="00DF0041" w:rsidP="00DF0041">
      <w:pPr>
        <w:jc w:val="both"/>
        <w:rPr>
          <w:rFonts w:ascii="Times New Roman" w:hAnsi="Times New Roman"/>
          <w:sz w:val="24"/>
          <w:szCs w:val="24"/>
        </w:rPr>
      </w:pPr>
    </w:p>
    <w:p w14:paraId="1A73BDD8" w14:textId="77777777" w:rsidR="00DF0041" w:rsidRPr="00DF0041" w:rsidRDefault="00DF0041" w:rsidP="00DF0041"/>
    <w:p w14:paraId="4234FD40" w14:textId="4CB330DB" w:rsidR="00733789" w:rsidRPr="00733789" w:rsidRDefault="00733789" w:rsidP="00333EBB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E05C5" w14:textId="77777777" w:rsidR="00547DC7" w:rsidRDefault="00547DC7">
      <w:r>
        <w:separator/>
      </w:r>
    </w:p>
  </w:endnote>
  <w:endnote w:type="continuationSeparator" w:id="0">
    <w:p w14:paraId="58AA8782" w14:textId="77777777" w:rsidR="00547DC7" w:rsidRDefault="0054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4CBBE" w14:textId="77777777" w:rsidR="00547DC7" w:rsidRDefault="00547DC7">
      <w:r>
        <w:separator/>
      </w:r>
    </w:p>
  </w:footnote>
  <w:footnote w:type="continuationSeparator" w:id="0">
    <w:p w14:paraId="7E94E8FF" w14:textId="77777777" w:rsidR="00547DC7" w:rsidRDefault="0054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834446"/>
    <w:multiLevelType w:val="hybridMultilevel"/>
    <w:tmpl w:val="D310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B4EA2"/>
    <w:multiLevelType w:val="hybridMultilevel"/>
    <w:tmpl w:val="D090C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9"/>
  </w:num>
  <w:num w:numId="9">
    <w:abstractNumId w:val="8"/>
  </w:num>
  <w:num w:numId="10">
    <w:abstractNumId w:val="1"/>
  </w:num>
  <w:num w:numId="11">
    <w:abstractNumId w:val="3"/>
  </w:num>
  <w:num w:numId="12">
    <w:abstractNumId w:val="16"/>
  </w:num>
  <w:num w:numId="13">
    <w:abstractNumId w:val="9"/>
  </w:num>
  <w:num w:numId="14">
    <w:abstractNumId w:val="14"/>
  </w:num>
  <w:num w:numId="15">
    <w:abstractNumId w:val="10"/>
  </w:num>
  <w:num w:numId="16">
    <w:abstractNumId w:val="4"/>
  </w:num>
  <w:num w:numId="17">
    <w:abstractNumId w:val="0"/>
  </w:num>
  <w:num w:numId="18">
    <w:abstractNumId w:val="12"/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1BD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87045"/>
    <w:rsid w:val="00190D5A"/>
    <w:rsid w:val="00193B87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AC5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37C0"/>
    <w:rsid w:val="002B4C6B"/>
    <w:rsid w:val="002C0CD5"/>
    <w:rsid w:val="002C0D5D"/>
    <w:rsid w:val="002C361E"/>
    <w:rsid w:val="002C38AD"/>
    <w:rsid w:val="002C4FFE"/>
    <w:rsid w:val="002C53CB"/>
    <w:rsid w:val="002C692D"/>
    <w:rsid w:val="002C6ABE"/>
    <w:rsid w:val="002C743A"/>
    <w:rsid w:val="002D14E9"/>
    <w:rsid w:val="002E388C"/>
    <w:rsid w:val="002E4BE8"/>
    <w:rsid w:val="002E5BEF"/>
    <w:rsid w:val="002E691A"/>
    <w:rsid w:val="002F1BF3"/>
    <w:rsid w:val="002F2C49"/>
    <w:rsid w:val="002F4D43"/>
    <w:rsid w:val="002F5879"/>
    <w:rsid w:val="002F7519"/>
    <w:rsid w:val="003035B9"/>
    <w:rsid w:val="003039AF"/>
    <w:rsid w:val="003056C6"/>
    <w:rsid w:val="003077B8"/>
    <w:rsid w:val="003108E8"/>
    <w:rsid w:val="00311B14"/>
    <w:rsid w:val="00312FBD"/>
    <w:rsid w:val="00313699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3EBB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959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A6BCD"/>
    <w:rsid w:val="004B1B9B"/>
    <w:rsid w:val="004B2DB0"/>
    <w:rsid w:val="004B5A4D"/>
    <w:rsid w:val="004B6F07"/>
    <w:rsid w:val="004C0F9E"/>
    <w:rsid w:val="004C1243"/>
    <w:rsid w:val="004C12A8"/>
    <w:rsid w:val="004C4616"/>
    <w:rsid w:val="004C4703"/>
    <w:rsid w:val="004C5C26"/>
    <w:rsid w:val="004C6885"/>
    <w:rsid w:val="004D5977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09F8"/>
    <w:rsid w:val="00541A48"/>
    <w:rsid w:val="00542E0D"/>
    <w:rsid w:val="005442FC"/>
    <w:rsid w:val="0054721B"/>
    <w:rsid w:val="00547DC7"/>
    <w:rsid w:val="00550AB2"/>
    <w:rsid w:val="00550DE9"/>
    <w:rsid w:val="00553291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5F41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17A69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27385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1214"/>
    <w:rsid w:val="00882D42"/>
    <w:rsid w:val="00884A37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76A7B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587"/>
    <w:rsid w:val="00A116C6"/>
    <w:rsid w:val="00A11F5B"/>
    <w:rsid w:val="00A13244"/>
    <w:rsid w:val="00A15933"/>
    <w:rsid w:val="00A15CE2"/>
    <w:rsid w:val="00A15FAA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2845"/>
    <w:rsid w:val="00A76293"/>
    <w:rsid w:val="00A77D2D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2BCB"/>
    <w:rsid w:val="00AB30DB"/>
    <w:rsid w:val="00AB397A"/>
    <w:rsid w:val="00AB5352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E4D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0F0D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0DC3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4F88"/>
    <w:rsid w:val="00C25569"/>
    <w:rsid w:val="00C27207"/>
    <w:rsid w:val="00C27366"/>
    <w:rsid w:val="00C36125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67906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513D"/>
    <w:rsid w:val="00CF11F7"/>
    <w:rsid w:val="00CF22A5"/>
    <w:rsid w:val="00CF31D5"/>
    <w:rsid w:val="00CF67BF"/>
    <w:rsid w:val="00D01441"/>
    <w:rsid w:val="00D024B7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2E3E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3D2E"/>
    <w:rsid w:val="00D741B8"/>
    <w:rsid w:val="00D768A4"/>
    <w:rsid w:val="00D839D1"/>
    <w:rsid w:val="00D86742"/>
    <w:rsid w:val="00D87864"/>
    <w:rsid w:val="00D9049D"/>
    <w:rsid w:val="00D92517"/>
    <w:rsid w:val="00D9271F"/>
    <w:rsid w:val="00D927A9"/>
    <w:rsid w:val="00D92F52"/>
    <w:rsid w:val="00D93148"/>
    <w:rsid w:val="00D95BAD"/>
    <w:rsid w:val="00DA116F"/>
    <w:rsid w:val="00DA1C6B"/>
    <w:rsid w:val="00DA2344"/>
    <w:rsid w:val="00DA41F2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041"/>
    <w:rsid w:val="00DF0128"/>
    <w:rsid w:val="00DF2857"/>
    <w:rsid w:val="00DF2914"/>
    <w:rsid w:val="00DF3707"/>
    <w:rsid w:val="00DF49AA"/>
    <w:rsid w:val="00DF782B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32C3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D89"/>
    <w:rsid w:val="00EF4E88"/>
    <w:rsid w:val="00EF713A"/>
    <w:rsid w:val="00F026ED"/>
    <w:rsid w:val="00F122E2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3D5"/>
    <w:rsid w:val="00F46601"/>
    <w:rsid w:val="00F467D7"/>
    <w:rsid w:val="00F46D0D"/>
    <w:rsid w:val="00F5102A"/>
    <w:rsid w:val="00F533F6"/>
    <w:rsid w:val="00F5613E"/>
    <w:rsid w:val="00F57273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0D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zatory-platnicz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FB6A-6C02-4CF5-81DB-1541D6B7F3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7502DD1-1912-4E4D-A3A8-24E3991E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2</cp:revision>
  <cp:lastPrinted>2024-02-29T12:06:00Z</cp:lastPrinted>
  <dcterms:created xsi:type="dcterms:W3CDTF">2024-11-06T08:38:00Z</dcterms:created>
  <dcterms:modified xsi:type="dcterms:W3CDTF">2024-11-06T08:38:00Z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e73f9000-8417-4fd4-a52d-2635326b7fa8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