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ABAEF" w14:textId="17F30C78" w:rsidR="002B37C0" w:rsidRPr="002B37C0" w:rsidRDefault="002B37C0" w:rsidP="002B37C0">
      <w:pPr>
        <w:spacing w:after="240" w:line="360" w:lineRule="auto"/>
        <w:jc w:val="both"/>
        <w:rPr>
          <w:sz w:val="32"/>
          <w:szCs w:val="32"/>
          <w:lang w:eastAsia="pl-PL"/>
        </w:rPr>
      </w:pPr>
      <w:r w:rsidRPr="002B37C0">
        <w:rPr>
          <w:sz w:val="32"/>
          <w:szCs w:val="32"/>
          <w:lang w:eastAsia="pl-PL"/>
        </w:rPr>
        <w:t>Pakietyzacja – zakończenie postępowań</w:t>
      </w:r>
      <w:r w:rsidR="00EF4D89">
        <w:rPr>
          <w:sz w:val="32"/>
          <w:szCs w:val="32"/>
          <w:lang w:eastAsia="pl-PL"/>
        </w:rPr>
        <w:t xml:space="preserve"> antymonopolowych</w:t>
      </w:r>
    </w:p>
    <w:p w14:paraId="638252C4" w14:textId="4314E83A" w:rsidR="002B37C0" w:rsidRPr="002B37C0" w:rsidRDefault="002B37C0" w:rsidP="002B37C0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sz w:val="22"/>
          <w:lang w:eastAsia="pl-PL"/>
        </w:rPr>
      </w:pPr>
      <w:r w:rsidRPr="002B37C0">
        <w:rPr>
          <w:b/>
          <w:sz w:val="22"/>
          <w:lang w:eastAsia="pl-PL"/>
        </w:rPr>
        <w:t>Prezes UOKiK zakończył post</w:t>
      </w:r>
      <w:r w:rsidR="00F57273">
        <w:rPr>
          <w:b/>
          <w:sz w:val="22"/>
          <w:lang w:eastAsia="pl-PL"/>
        </w:rPr>
        <w:t>ę</w:t>
      </w:r>
      <w:r w:rsidRPr="002B37C0">
        <w:rPr>
          <w:b/>
          <w:sz w:val="22"/>
          <w:lang w:eastAsia="pl-PL"/>
        </w:rPr>
        <w:t xml:space="preserve">powania dotyczące praktyk Telewizji Polsat i  </w:t>
      </w:r>
      <w:r w:rsidRPr="00AB2BCB">
        <w:rPr>
          <w:b/>
          <w:sz w:val="22"/>
          <w:lang w:eastAsia="pl-PL"/>
        </w:rPr>
        <w:t xml:space="preserve">spółek </w:t>
      </w:r>
      <w:bookmarkStart w:id="0" w:name="_GoBack"/>
      <w:bookmarkEnd w:id="0"/>
      <w:r w:rsidRPr="00AB2BCB">
        <w:rPr>
          <w:b/>
          <w:sz w:val="22"/>
          <w:lang w:eastAsia="pl-PL"/>
        </w:rPr>
        <w:t>z grupy Discovery.</w:t>
      </w:r>
    </w:p>
    <w:p w14:paraId="7E645EDF" w14:textId="4357417B" w:rsidR="00F463D5" w:rsidRPr="00D93148" w:rsidRDefault="00976A7B" w:rsidP="00333EBB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lang w:eastAsia="pl-PL"/>
        </w:rPr>
      </w:pPr>
      <w:r>
        <w:rPr>
          <w:b/>
          <w:sz w:val="22"/>
          <w:lang w:eastAsia="pl-PL"/>
        </w:rPr>
        <w:t>Drobiazgowa a</w:t>
      </w:r>
      <w:r w:rsidR="00F463D5" w:rsidRPr="00D93148">
        <w:rPr>
          <w:b/>
          <w:sz w:val="22"/>
          <w:lang w:eastAsia="pl-PL"/>
        </w:rPr>
        <w:t>naliza wykazała, że podejrzewane działania nadawców nie wpływają na kształt pakietów oferowanych abonentom.</w:t>
      </w:r>
    </w:p>
    <w:p w14:paraId="45DF75D6" w14:textId="490486E0" w:rsidR="002B37C0" w:rsidRPr="00333EBB" w:rsidRDefault="00F463D5" w:rsidP="00333EBB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 w:themeColor="text1"/>
          <w:sz w:val="22"/>
          <w:shd w:val="clear" w:color="auto" w:fill="FFFFFF"/>
        </w:rPr>
      </w:pPr>
      <w:r>
        <w:rPr>
          <w:rStyle w:val="Pogrubienie"/>
          <w:rFonts w:cs="Tahoma"/>
          <w:color w:val="000000" w:themeColor="text1"/>
          <w:sz w:val="22"/>
          <w:shd w:val="clear" w:color="auto" w:fill="FFFFFF"/>
        </w:rPr>
        <w:t>Po</w:t>
      </w:r>
      <w:r w:rsidRPr="00D93148">
        <w:rPr>
          <w:rStyle w:val="Pogrubienie"/>
          <w:rFonts w:cs="Tahoma"/>
          <w:color w:val="000000" w:themeColor="text1"/>
          <w:sz w:val="22"/>
          <w:shd w:val="clear" w:color="auto" w:fill="FFFFFF"/>
        </w:rPr>
        <w:t xml:space="preserve">twierdzają to wyniki </w:t>
      </w:r>
      <w:r w:rsidR="00F122E2">
        <w:rPr>
          <w:rStyle w:val="Pogrubienie"/>
          <w:rFonts w:cs="Tahoma"/>
          <w:color w:val="000000" w:themeColor="text1"/>
          <w:sz w:val="22"/>
          <w:shd w:val="clear" w:color="auto" w:fill="FFFFFF"/>
        </w:rPr>
        <w:t xml:space="preserve">szczegółowego </w:t>
      </w:r>
      <w:r w:rsidRPr="00D93148">
        <w:rPr>
          <w:rStyle w:val="Pogrubienie"/>
          <w:rFonts w:cs="Tahoma"/>
          <w:color w:val="000000" w:themeColor="text1"/>
          <w:sz w:val="22"/>
          <w:shd w:val="clear" w:color="auto" w:fill="FFFFFF"/>
        </w:rPr>
        <w:t>badania przeprowadzonego przez Prezesa UOKiK w trakcie postępowa</w:t>
      </w:r>
      <w:r>
        <w:rPr>
          <w:rStyle w:val="Pogrubienie"/>
          <w:rFonts w:cs="Tahoma"/>
          <w:color w:val="000000" w:themeColor="text1"/>
          <w:sz w:val="22"/>
          <w:shd w:val="clear" w:color="auto" w:fill="FFFFFF"/>
        </w:rPr>
        <w:t>ń</w:t>
      </w:r>
      <w:r w:rsidR="00333EBB" w:rsidRPr="00333EBB">
        <w:rPr>
          <w:rStyle w:val="Pogrubienie"/>
          <w:rFonts w:cs="Tahoma"/>
          <w:color w:val="000000" w:themeColor="text1"/>
          <w:sz w:val="22"/>
          <w:shd w:val="clear" w:color="auto" w:fill="FFFFFF"/>
        </w:rPr>
        <w:t>.</w:t>
      </w:r>
    </w:p>
    <w:p w14:paraId="484109BF" w14:textId="010B578C" w:rsidR="002B37C0" w:rsidRPr="002B37C0" w:rsidRDefault="00333EBB" w:rsidP="00333EBB">
      <w:pPr>
        <w:spacing w:after="240" w:line="360" w:lineRule="auto"/>
        <w:jc w:val="both"/>
        <w:rPr>
          <w:sz w:val="22"/>
          <w:lang w:eastAsia="pl-PL"/>
        </w:rPr>
      </w:pPr>
      <w:r w:rsidRPr="00333EBB">
        <w:rPr>
          <w:b/>
          <w:sz w:val="22"/>
          <w:lang w:eastAsia="pl-PL"/>
        </w:rPr>
        <w:t>[Warszawa,</w:t>
      </w:r>
      <w:r w:rsidR="008E47CE">
        <w:rPr>
          <w:b/>
          <w:sz w:val="22"/>
          <w:lang w:eastAsia="pl-PL"/>
        </w:rPr>
        <w:t xml:space="preserve"> 29</w:t>
      </w:r>
      <w:r w:rsidRPr="00333EBB">
        <w:rPr>
          <w:b/>
          <w:sz w:val="22"/>
          <w:lang w:eastAsia="pl-PL"/>
        </w:rPr>
        <w:t xml:space="preserve"> października 2024 r.</w:t>
      </w:r>
      <w:r w:rsidR="0055208C">
        <w:rPr>
          <w:b/>
          <w:sz w:val="22"/>
          <w:lang w:eastAsia="pl-PL"/>
        </w:rPr>
        <w:t xml:space="preserve"> </w:t>
      </w:r>
      <w:r w:rsidRPr="00333EBB">
        <w:rPr>
          <w:b/>
          <w:sz w:val="22"/>
          <w:lang w:eastAsia="pl-PL"/>
        </w:rPr>
        <w:t>]</w:t>
      </w:r>
      <w:r>
        <w:rPr>
          <w:sz w:val="22"/>
          <w:lang w:eastAsia="pl-PL"/>
        </w:rPr>
        <w:t xml:space="preserve"> </w:t>
      </w:r>
      <w:r w:rsidR="002B37C0" w:rsidRPr="002B37C0">
        <w:rPr>
          <w:sz w:val="22"/>
          <w:lang w:eastAsia="pl-PL"/>
        </w:rPr>
        <w:t>Konsumenci korzystający z płatnych usług telewizyjnych nabywają je od operatorów w pakietach składających się z wielu kanałów. W pakietach zakupują programy również operatorzy. Prezes Urzędu analizował, czy warunki sprzedaży (licencjonowania programów) na poziomie hurtowym, czyli w relacjach między nadawcą a operatorem, mogły naruszać konkurencję.</w:t>
      </w:r>
    </w:p>
    <w:p w14:paraId="021FBE88" w14:textId="68BC3B0E" w:rsidR="002B37C0" w:rsidRPr="002B37C0" w:rsidRDefault="002B37C0" w:rsidP="00333EBB">
      <w:pPr>
        <w:spacing w:after="240" w:line="360" w:lineRule="auto"/>
        <w:jc w:val="both"/>
        <w:rPr>
          <w:b/>
          <w:sz w:val="22"/>
          <w:lang w:eastAsia="pl-PL"/>
        </w:rPr>
      </w:pPr>
      <w:r w:rsidRPr="002B37C0">
        <w:rPr>
          <w:b/>
          <w:sz w:val="22"/>
          <w:lang w:eastAsia="pl-PL"/>
        </w:rPr>
        <w:t>Postępowani</w:t>
      </w:r>
      <w:r w:rsidR="00EF4D89">
        <w:rPr>
          <w:b/>
          <w:sz w:val="22"/>
          <w:lang w:eastAsia="pl-PL"/>
        </w:rPr>
        <w:t>a</w:t>
      </w:r>
      <w:r w:rsidRPr="002B37C0">
        <w:rPr>
          <w:b/>
          <w:sz w:val="22"/>
          <w:lang w:eastAsia="pl-PL"/>
        </w:rPr>
        <w:t xml:space="preserve"> antymonopolowe</w:t>
      </w:r>
    </w:p>
    <w:p w14:paraId="16DD083A" w14:textId="61131E3B" w:rsidR="002B37C0" w:rsidRPr="002B37C0" w:rsidRDefault="002B37C0" w:rsidP="00333EBB">
      <w:pPr>
        <w:pStyle w:val="Tekstprzypisudolnego"/>
        <w:spacing w:after="240" w:line="360" w:lineRule="auto"/>
        <w:jc w:val="both"/>
        <w:rPr>
          <w:rFonts w:ascii="Trebuchet MS" w:eastAsia="Times New Roman" w:hAnsi="Trebuchet MS" w:cs="Times New Roman"/>
          <w:sz w:val="22"/>
          <w:szCs w:val="22"/>
          <w:lang w:eastAsia="pl-PL"/>
        </w:rPr>
      </w:pPr>
      <w:r w:rsidRPr="002B37C0">
        <w:rPr>
          <w:rFonts w:ascii="Trebuchet MS" w:eastAsia="Times New Roman" w:hAnsi="Trebuchet MS" w:cs="Times New Roman"/>
          <w:sz w:val="22"/>
          <w:szCs w:val="22"/>
          <w:lang w:eastAsia="pl-PL"/>
        </w:rPr>
        <w:t xml:space="preserve">W kwietniu 2021 r. Prezes Urzędu wszczął postępowania antymonopolowe </w:t>
      </w:r>
      <w:r w:rsidRPr="002B37C0">
        <w:rPr>
          <w:rFonts w:ascii="Trebuchet MS" w:hAnsi="Trebuchet MS" w:cs="Tahoma"/>
          <w:b/>
          <w:bCs/>
          <w:color w:val="000000" w:themeColor="text1"/>
          <w:sz w:val="22"/>
          <w:szCs w:val="22"/>
          <w:lang w:eastAsia="en-GB"/>
        </w:rPr>
        <w:t xml:space="preserve">przeciwko Telewizji Polsat i </w:t>
      </w:r>
      <w:r w:rsidRPr="00AB2BCB">
        <w:rPr>
          <w:rFonts w:ascii="Trebuchet MS" w:hAnsi="Trebuchet MS" w:cs="Tahoma"/>
          <w:b/>
          <w:bCs/>
          <w:color w:val="000000" w:themeColor="text1"/>
          <w:sz w:val="22"/>
          <w:szCs w:val="22"/>
          <w:lang w:eastAsia="en-GB"/>
        </w:rPr>
        <w:t>czterem spółkom z grupy Discovery</w:t>
      </w:r>
      <w:r w:rsidR="00E26AB0">
        <w:rPr>
          <w:rFonts w:ascii="Trebuchet MS" w:hAnsi="Trebuchet MS" w:cs="Tahoma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Pr="00E26AB0">
        <w:rPr>
          <w:rFonts w:ascii="Trebuchet MS" w:hAnsi="Trebuchet MS" w:cs="Tahoma"/>
          <w:bCs/>
          <w:color w:val="000000" w:themeColor="text1"/>
          <w:sz w:val="22"/>
          <w:szCs w:val="22"/>
          <w:lang w:eastAsia="en-GB"/>
        </w:rPr>
        <w:t>-</w:t>
      </w:r>
      <w:r w:rsidRPr="002B37C0">
        <w:rPr>
          <w:rFonts w:ascii="Trebuchet MS" w:hAnsi="Trebuchet MS" w:cs="Tahoma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Pr="002B37C0">
        <w:rPr>
          <w:rFonts w:ascii="Trebuchet MS" w:eastAsia="Times New Roman" w:hAnsi="Trebuchet MS" w:cs="Times New Roman"/>
          <w:sz w:val="22"/>
          <w:szCs w:val="22"/>
          <w:lang w:eastAsia="pl-PL"/>
        </w:rPr>
        <w:t xml:space="preserve">Discovery Communications Europe, Discovery Communications Benelux, Discovery Polska i Eurosport. </w:t>
      </w:r>
      <w:r w:rsidR="00EF4D89" w:rsidRPr="00F463D5">
        <w:rPr>
          <w:rFonts w:ascii="Trebuchet MS" w:eastAsia="Times New Roman" w:hAnsi="Trebuchet MS" w:cs="Times New Roman"/>
          <w:sz w:val="22"/>
          <w:szCs w:val="22"/>
          <w:lang w:eastAsia="pl-PL"/>
        </w:rPr>
        <w:t>Przedsiębiorcy</w:t>
      </w:r>
      <w:r w:rsidRPr="00F463D5">
        <w:rPr>
          <w:rFonts w:ascii="Trebuchet MS" w:eastAsia="Times New Roman" w:hAnsi="Trebuchet MS" w:cs="Times New Roman"/>
          <w:sz w:val="22"/>
          <w:szCs w:val="22"/>
          <w:lang w:eastAsia="pl-PL"/>
        </w:rPr>
        <w:t xml:space="preserve"> </w:t>
      </w:r>
      <w:r w:rsidR="00F463D5" w:rsidRPr="00F463D5">
        <w:rPr>
          <w:rFonts w:ascii="Trebuchet MS" w:eastAsia="Times New Roman" w:hAnsi="Trebuchet MS" w:cs="Times New Roman"/>
          <w:sz w:val="22"/>
          <w:szCs w:val="22"/>
          <w:lang w:eastAsia="pl-PL"/>
        </w:rPr>
        <w:t>dystrybuują</w:t>
      </w:r>
      <w:r w:rsidRPr="00F463D5">
        <w:rPr>
          <w:rFonts w:ascii="Trebuchet MS" w:eastAsia="Times New Roman" w:hAnsi="Trebuchet MS" w:cs="Times New Roman"/>
          <w:sz w:val="22"/>
          <w:szCs w:val="22"/>
          <w:lang w:eastAsia="pl-PL"/>
        </w:rPr>
        <w:t xml:space="preserve"> na rynku hurtowym programy telewizyjne wyprodukowane przez siebie lub w ramach swoich grup kapitałowych.</w:t>
      </w:r>
      <w:r w:rsidRPr="002B37C0">
        <w:rPr>
          <w:rFonts w:ascii="Trebuchet MS" w:eastAsia="Times New Roman" w:hAnsi="Trebuchet MS" w:cs="Times New Roman"/>
          <w:sz w:val="22"/>
          <w:szCs w:val="22"/>
          <w:lang w:eastAsia="pl-PL"/>
        </w:rPr>
        <w:t xml:space="preserve"> W wyniku przeprowadzonej analizy Prezes Urzędu doszedł jednak do wniosku, że brak jest </w:t>
      </w:r>
      <w:r w:rsidR="00266AC5">
        <w:rPr>
          <w:rFonts w:ascii="Trebuchet MS" w:eastAsia="Times New Roman" w:hAnsi="Trebuchet MS" w:cs="Times New Roman"/>
          <w:sz w:val="22"/>
          <w:szCs w:val="22"/>
          <w:lang w:eastAsia="pl-PL"/>
        </w:rPr>
        <w:t xml:space="preserve">dostatecznych </w:t>
      </w:r>
      <w:r w:rsidRPr="002B37C0">
        <w:rPr>
          <w:rFonts w:ascii="Trebuchet MS" w:eastAsia="Times New Roman" w:hAnsi="Trebuchet MS" w:cs="Times New Roman"/>
          <w:sz w:val="22"/>
          <w:szCs w:val="22"/>
          <w:lang w:eastAsia="pl-PL"/>
        </w:rPr>
        <w:t>podstaw do stwierdzenia naruszenia prawa i umorzył te postępowania.</w:t>
      </w:r>
    </w:p>
    <w:p w14:paraId="389161FB" w14:textId="13093B92" w:rsidR="002B37C0" w:rsidRPr="002B37C0" w:rsidRDefault="002B37C0" w:rsidP="00333EBB">
      <w:pPr>
        <w:spacing w:after="240" w:line="360" w:lineRule="auto"/>
        <w:jc w:val="both"/>
        <w:rPr>
          <w:sz w:val="22"/>
          <w:lang w:eastAsia="pl-PL"/>
        </w:rPr>
      </w:pPr>
      <w:r w:rsidRPr="002B37C0">
        <w:rPr>
          <w:sz w:val="22"/>
          <w:lang w:eastAsia="pl-PL"/>
        </w:rPr>
        <w:t xml:space="preserve">Rozpoczynając postępowania antymonopolowe, Prezes Urzędu podejrzewał, że działania Polsatu oraz </w:t>
      </w:r>
      <w:r w:rsidR="00AB2BCB">
        <w:rPr>
          <w:sz w:val="22"/>
          <w:lang w:eastAsia="pl-PL"/>
        </w:rPr>
        <w:t xml:space="preserve">spółek z grupy </w:t>
      </w:r>
      <w:r w:rsidRPr="002B37C0">
        <w:rPr>
          <w:sz w:val="22"/>
          <w:lang w:eastAsia="pl-PL"/>
        </w:rPr>
        <w:t xml:space="preserve">Discovery mogą stanowić nadużywanie pozycji dominującej. Zastrzeżenia budził sposób sprzedaży programów operatorom telewizji: w przypadku </w:t>
      </w:r>
      <w:r w:rsidR="00AB2BCB">
        <w:rPr>
          <w:sz w:val="22"/>
          <w:lang w:eastAsia="pl-PL"/>
        </w:rPr>
        <w:t xml:space="preserve">Telewizji </w:t>
      </w:r>
      <w:r w:rsidRPr="002B37C0">
        <w:rPr>
          <w:sz w:val="22"/>
          <w:lang w:eastAsia="pl-PL"/>
        </w:rPr>
        <w:t xml:space="preserve">Polsat w pakiecie składającym się z 28 programów telewizyjnych, a w przypadku </w:t>
      </w:r>
      <w:r w:rsidR="00AB2BCB">
        <w:rPr>
          <w:sz w:val="22"/>
          <w:lang w:eastAsia="pl-PL"/>
        </w:rPr>
        <w:t xml:space="preserve">spółek z grupy </w:t>
      </w:r>
      <w:r w:rsidRPr="002B37C0">
        <w:rPr>
          <w:sz w:val="22"/>
          <w:lang w:eastAsia="pl-PL"/>
        </w:rPr>
        <w:t xml:space="preserve">Discovery w pakietach składających się z co najmniej 6 programów. Operatorzy telewizji musieli umieszczać pewną część nabywanych programów w tzw. pakietach podstawowych, czyli pakietach oferowanych i  trafiających do najszerszej grupy odbiorców detalicznych. To z kolei mogło oznaczać, że również i konsumenci mogli nie mieć wyboru w postaci kupienia mniejszego pakietu u operatora telewizji i tym samym mogli być </w:t>
      </w:r>
      <w:r w:rsidRPr="002B37C0">
        <w:rPr>
          <w:sz w:val="22"/>
          <w:lang w:eastAsia="pl-PL"/>
        </w:rPr>
        <w:lastRenderedPageBreak/>
        <w:t>zmuszeni do kupowania większego pakietu, nawet jeżeli nie byli zainteresowani niektórymi programami.</w:t>
      </w:r>
    </w:p>
    <w:p w14:paraId="3C689A8C" w14:textId="06D307EA" w:rsidR="002B37C0" w:rsidRPr="002B37C0" w:rsidRDefault="002B37C0" w:rsidP="00333EBB">
      <w:pPr>
        <w:spacing w:after="240" w:line="360" w:lineRule="auto"/>
        <w:jc w:val="both"/>
        <w:rPr>
          <w:iCs/>
          <w:sz w:val="22"/>
        </w:rPr>
      </w:pPr>
      <w:r w:rsidRPr="002B37C0">
        <w:rPr>
          <w:iCs/>
          <w:sz w:val="22"/>
        </w:rPr>
        <w:t>W tym kontekście Prezes Urzędu</w:t>
      </w:r>
      <w:r w:rsidRPr="002B37C0">
        <w:rPr>
          <w:sz w:val="22"/>
          <w:lang w:eastAsia="pl-PL"/>
        </w:rPr>
        <w:t xml:space="preserve"> podejrzewał, że </w:t>
      </w:r>
      <w:r w:rsidR="00AB2BCB">
        <w:rPr>
          <w:sz w:val="22"/>
          <w:lang w:eastAsia="pl-PL"/>
        </w:rPr>
        <w:t xml:space="preserve">Telewizja </w:t>
      </w:r>
      <w:r w:rsidRPr="002B37C0">
        <w:rPr>
          <w:sz w:val="22"/>
          <w:lang w:eastAsia="pl-PL"/>
        </w:rPr>
        <w:t xml:space="preserve">Polsat i </w:t>
      </w:r>
      <w:r w:rsidR="00AB2BCB">
        <w:rPr>
          <w:sz w:val="22"/>
          <w:lang w:eastAsia="pl-PL"/>
        </w:rPr>
        <w:t xml:space="preserve">spółki z grupy </w:t>
      </w:r>
      <w:r w:rsidRPr="002B37C0">
        <w:rPr>
          <w:sz w:val="22"/>
          <w:lang w:eastAsia="pl-PL"/>
        </w:rPr>
        <w:t xml:space="preserve">Discovery mogły nadużywać posiadanych przez siebie pozycji rynkowych, wymuszając na operatorach telewizji tworzenie nadmiernie rozbudowanych pakietów programów, w konsekwencji  utrudniając im </w:t>
      </w:r>
      <w:r w:rsidR="00F122E2">
        <w:rPr>
          <w:sz w:val="22"/>
          <w:lang w:eastAsia="pl-PL"/>
        </w:rPr>
        <w:t>konstrukcję</w:t>
      </w:r>
      <w:r w:rsidRPr="002B37C0">
        <w:rPr>
          <w:sz w:val="22"/>
          <w:lang w:eastAsia="pl-PL"/>
        </w:rPr>
        <w:t xml:space="preserve"> pakietów tematycznych oraz premium.</w:t>
      </w:r>
      <w:r w:rsidRPr="002B37C0">
        <w:rPr>
          <w:sz w:val="22"/>
        </w:rPr>
        <w:t xml:space="preserve"> </w:t>
      </w:r>
      <w:r w:rsidRPr="002B37C0">
        <w:rPr>
          <w:sz w:val="22"/>
          <w:lang w:eastAsia="pl-PL"/>
        </w:rPr>
        <w:t>Operator związany umową z tymi nadawcami mógł nie mieć swobody w doborze programów do pakietów oferowanych mniejszej liczbie konsumentów niż pakiety podstawowe</w:t>
      </w:r>
      <w:r w:rsidRPr="002B37C0">
        <w:rPr>
          <w:iCs/>
          <w:sz w:val="22"/>
        </w:rPr>
        <w:t xml:space="preserve">. </w:t>
      </w:r>
      <w:r w:rsidR="00D024B7" w:rsidRPr="002B37C0">
        <w:rPr>
          <w:iCs/>
          <w:sz w:val="22"/>
        </w:rPr>
        <w:t xml:space="preserve"> </w:t>
      </w:r>
      <w:r w:rsidR="00D024B7" w:rsidRPr="00D024B7">
        <w:rPr>
          <w:rFonts w:cstheme="minorHAnsi"/>
          <w:sz w:val="22"/>
        </w:rPr>
        <w:t>Urząd otrzymywał wiele skarg od operatorów, stowarzyszeń branżowych oraz konsumentów, dotyczących ograniczania swobody kształtowania oferty programowej czy wyboru programów telewizyjnych.</w:t>
      </w:r>
      <w:r w:rsidR="00D024B7">
        <w:rPr>
          <w:i/>
        </w:rPr>
        <w:t xml:space="preserve"> </w:t>
      </w:r>
    </w:p>
    <w:p w14:paraId="13FDC7D3" w14:textId="643F0383" w:rsidR="002B37C0" w:rsidRPr="00333EBB" w:rsidRDefault="002B37C0" w:rsidP="00333EBB">
      <w:pPr>
        <w:spacing w:after="240" w:line="360" w:lineRule="auto"/>
        <w:jc w:val="both"/>
        <w:rPr>
          <w:b/>
          <w:iCs/>
          <w:sz w:val="22"/>
        </w:rPr>
      </w:pPr>
      <w:r w:rsidRPr="00333EBB">
        <w:rPr>
          <w:b/>
          <w:iCs/>
          <w:sz w:val="22"/>
        </w:rPr>
        <w:t>Wnioski z postępowa</w:t>
      </w:r>
      <w:r w:rsidR="00EF4D89">
        <w:rPr>
          <w:b/>
          <w:iCs/>
          <w:sz w:val="22"/>
        </w:rPr>
        <w:t>ń</w:t>
      </w:r>
    </w:p>
    <w:p w14:paraId="09E7B0C3" w14:textId="77E497D6" w:rsidR="002B37C0" w:rsidRPr="002B37C0" w:rsidRDefault="00F122E2" w:rsidP="00333EBB">
      <w:pPr>
        <w:spacing w:after="240" w:line="360" w:lineRule="auto"/>
        <w:jc w:val="both"/>
        <w:rPr>
          <w:rFonts w:cstheme="minorHAnsi"/>
          <w:sz w:val="22"/>
        </w:rPr>
      </w:pPr>
      <w:r>
        <w:rPr>
          <w:iCs/>
          <w:sz w:val="22"/>
        </w:rPr>
        <w:t xml:space="preserve">- </w:t>
      </w:r>
      <w:r w:rsidR="002B37C0" w:rsidRPr="002B37C0">
        <w:rPr>
          <w:iCs/>
          <w:sz w:val="22"/>
        </w:rPr>
        <w:t xml:space="preserve">W </w:t>
      </w:r>
      <w:r w:rsidR="00266AC5">
        <w:rPr>
          <w:iCs/>
          <w:sz w:val="22"/>
        </w:rPr>
        <w:t>toku</w:t>
      </w:r>
      <w:r w:rsidR="002B37C0" w:rsidRPr="002B37C0">
        <w:rPr>
          <w:iCs/>
          <w:sz w:val="22"/>
        </w:rPr>
        <w:t xml:space="preserve"> postępowań przeprowadz</w:t>
      </w:r>
      <w:r>
        <w:rPr>
          <w:iCs/>
          <w:sz w:val="22"/>
        </w:rPr>
        <w:t>iliśmy</w:t>
      </w:r>
      <w:r w:rsidR="002B37C0" w:rsidRPr="002B37C0">
        <w:rPr>
          <w:iCs/>
          <w:sz w:val="22"/>
        </w:rPr>
        <w:t xml:space="preserve"> szeroko zakrojone badanie rynku</w:t>
      </w:r>
      <w:r>
        <w:rPr>
          <w:iCs/>
          <w:sz w:val="22"/>
        </w:rPr>
        <w:t>,</w:t>
      </w:r>
      <w:r w:rsidR="002B37C0" w:rsidRPr="002B37C0">
        <w:rPr>
          <w:iCs/>
          <w:sz w:val="22"/>
        </w:rPr>
        <w:t xml:space="preserve"> w ramach którego </w:t>
      </w:r>
      <w:r w:rsidR="002B37C0" w:rsidRPr="002B37C0">
        <w:rPr>
          <w:color w:val="000000"/>
          <w:sz w:val="22"/>
          <w:shd w:val="clear" w:color="auto" w:fill="FFFFFF"/>
        </w:rPr>
        <w:t>przesła</w:t>
      </w:r>
      <w:r>
        <w:rPr>
          <w:color w:val="000000"/>
          <w:sz w:val="22"/>
          <w:shd w:val="clear" w:color="auto" w:fill="FFFFFF"/>
        </w:rPr>
        <w:t>liśmy</w:t>
      </w:r>
      <w:r w:rsidR="002B37C0" w:rsidRPr="002B37C0">
        <w:rPr>
          <w:color w:val="000000"/>
          <w:sz w:val="22"/>
          <w:shd w:val="clear" w:color="auto" w:fill="FFFFFF"/>
        </w:rPr>
        <w:t xml:space="preserve"> ponad 500 </w:t>
      </w:r>
      <w:r>
        <w:rPr>
          <w:color w:val="000000"/>
          <w:sz w:val="22"/>
          <w:shd w:val="clear" w:color="auto" w:fill="FFFFFF"/>
        </w:rPr>
        <w:t xml:space="preserve">szczegółowych </w:t>
      </w:r>
      <w:r w:rsidR="002B37C0" w:rsidRPr="002B37C0">
        <w:rPr>
          <w:color w:val="000000"/>
          <w:sz w:val="22"/>
          <w:shd w:val="clear" w:color="auto" w:fill="FFFFFF"/>
        </w:rPr>
        <w:t xml:space="preserve">ankiet do operatorów telewizyjnych. </w:t>
      </w:r>
      <w:r w:rsidR="002B37C0" w:rsidRPr="002B37C0">
        <w:rPr>
          <w:rFonts w:cstheme="minorHAnsi"/>
          <w:sz w:val="22"/>
        </w:rPr>
        <w:t>Zgromadzone</w:t>
      </w:r>
      <w:r>
        <w:rPr>
          <w:rFonts w:cstheme="minorHAnsi"/>
          <w:sz w:val="22"/>
        </w:rPr>
        <w:t xml:space="preserve"> i poddane drobiazgowej analizie</w:t>
      </w:r>
      <w:r w:rsidR="002B37C0" w:rsidRPr="002B37C0">
        <w:rPr>
          <w:rFonts w:cstheme="minorHAnsi"/>
          <w:sz w:val="22"/>
        </w:rPr>
        <w:t xml:space="preserve"> informacje nie potwierdziły podejrzeń, że praktyki Telewizji Polsat i </w:t>
      </w:r>
      <w:r w:rsidR="00AB2BCB">
        <w:rPr>
          <w:rFonts w:cstheme="minorHAnsi"/>
          <w:sz w:val="22"/>
        </w:rPr>
        <w:t xml:space="preserve">spółek z grupy </w:t>
      </w:r>
      <w:r w:rsidR="002B37C0" w:rsidRPr="002B37C0">
        <w:rPr>
          <w:rFonts w:cstheme="minorHAnsi"/>
          <w:sz w:val="22"/>
        </w:rPr>
        <w:t xml:space="preserve">Discovery stanowią </w:t>
      </w:r>
      <w:r w:rsidR="00EF4D89" w:rsidRPr="002B37C0">
        <w:rPr>
          <w:rFonts w:cstheme="minorHAnsi"/>
          <w:sz w:val="22"/>
        </w:rPr>
        <w:t>wykorzystywanie</w:t>
      </w:r>
      <w:r w:rsidR="002B37C0" w:rsidRPr="002B37C0">
        <w:rPr>
          <w:rFonts w:cstheme="minorHAnsi"/>
          <w:sz w:val="22"/>
        </w:rPr>
        <w:t xml:space="preserve"> ich pozycji rynkowej na niekorzyść operatorów płatnej telewizji – mówi Prezes UOKiK Tomasz Chróstny.</w:t>
      </w:r>
    </w:p>
    <w:p w14:paraId="1874EAC8" w14:textId="30688E8A" w:rsidR="002B37C0" w:rsidRPr="002B37C0" w:rsidRDefault="002B37C0" w:rsidP="00333EBB">
      <w:pPr>
        <w:spacing w:after="240" w:line="360" w:lineRule="auto"/>
        <w:jc w:val="both"/>
        <w:rPr>
          <w:sz w:val="22"/>
        </w:rPr>
      </w:pPr>
      <w:r w:rsidRPr="00F463D5">
        <w:rPr>
          <w:rFonts w:cstheme="minorHAnsi"/>
          <w:sz w:val="22"/>
        </w:rPr>
        <w:t>Uzyskane</w:t>
      </w:r>
      <w:r w:rsidRPr="002B37C0">
        <w:rPr>
          <w:rFonts w:cstheme="minorHAnsi"/>
          <w:sz w:val="22"/>
        </w:rPr>
        <w:t xml:space="preserve"> dane pokazały, że gdyby operatorzy uzyskali pełną swobodę umieszczania programów w dowolnych pakietach, zdecydowana większość z nich nie przeniosłaby  żadnego z nadawanych programów </w:t>
      </w:r>
      <w:r w:rsidR="00AB2BCB">
        <w:rPr>
          <w:rFonts w:cstheme="minorHAnsi"/>
          <w:sz w:val="22"/>
        </w:rPr>
        <w:t xml:space="preserve">Telewizji </w:t>
      </w:r>
      <w:r w:rsidRPr="002B37C0">
        <w:rPr>
          <w:rFonts w:cstheme="minorHAnsi"/>
          <w:sz w:val="22"/>
        </w:rPr>
        <w:t xml:space="preserve">Polsat i </w:t>
      </w:r>
      <w:r w:rsidR="00AB2BCB">
        <w:rPr>
          <w:rFonts w:cstheme="minorHAnsi"/>
          <w:sz w:val="22"/>
        </w:rPr>
        <w:t xml:space="preserve">spółek z grupy </w:t>
      </w:r>
      <w:r w:rsidRPr="002B37C0">
        <w:rPr>
          <w:rFonts w:cstheme="minorHAnsi"/>
          <w:sz w:val="22"/>
        </w:rPr>
        <w:t xml:space="preserve">Discovery do innego pakietu niż ten, w którym jest nadawany obecnie. Ponadto operatorzy wskazywali, że otrzymywane przez nich oferty </w:t>
      </w:r>
      <w:r w:rsidR="00AB2BCB">
        <w:rPr>
          <w:rFonts w:cstheme="minorHAnsi"/>
          <w:sz w:val="22"/>
        </w:rPr>
        <w:t xml:space="preserve">Telewizji </w:t>
      </w:r>
      <w:r w:rsidRPr="002B37C0">
        <w:rPr>
          <w:rFonts w:cstheme="minorHAnsi"/>
          <w:sz w:val="22"/>
        </w:rPr>
        <w:t xml:space="preserve">Polsat i </w:t>
      </w:r>
      <w:r w:rsidR="00AB2BCB">
        <w:rPr>
          <w:rFonts w:cstheme="minorHAnsi"/>
          <w:sz w:val="22"/>
        </w:rPr>
        <w:t xml:space="preserve">spółek z grupy </w:t>
      </w:r>
      <w:r w:rsidRPr="002B37C0">
        <w:rPr>
          <w:rFonts w:cstheme="minorHAnsi"/>
          <w:sz w:val="22"/>
        </w:rPr>
        <w:t xml:space="preserve">Discovery są dla nich akceptowalne, a oferowane hurtowe pakiety programów są </w:t>
      </w:r>
      <w:r w:rsidR="00F122E2">
        <w:rPr>
          <w:rFonts w:cstheme="minorHAnsi"/>
          <w:sz w:val="22"/>
        </w:rPr>
        <w:t>wystarczająco</w:t>
      </w:r>
      <w:r w:rsidRPr="002B37C0">
        <w:rPr>
          <w:rFonts w:cstheme="minorHAnsi"/>
          <w:sz w:val="22"/>
        </w:rPr>
        <w:t xml:space="preserve"> </w:t>
      </w:r>
      <w:r w:rsidR="00266AC5">
        <w:rPr>
          <w:rFonts w:cstheme="minorHAnsi"/>
          <w:sz w:val="22"/>
        </w:rPr>
        <w:t xml:space="preserve">dopasowane </w:t>
      </w:r>
      <w:r w:rsidRPr="002B37C0">
        <w:rPr>
          <w:rFonts w:cstheme="minorHAnsi"/>
          <w:sz w:val="22"/>
        </w:rPr>
        <w:t xml:space="preserve">do ich potrzeb. </w:t>
      </w:r>
    </w:p>
    <w:p w14:paraId="585FA823" w14:textId="3B088403" w:rsidR="002B37C0" w:rsidRPr="002B37C0" w:rsidRDefault="002B37C0" w:rsidP="00333EBB">
      <w:pPr>
        <w:spacing w:after="240" w:line="360" w:lineRule="auto"/>
        <w:jc w:val="both"/>
        <w:rPr>
          <w:color w:val="000000"/>
          <w:sz w:val="22"/>
          <w:shd w:val="clear" w:color="auto" w:fill="FFFFFF"/>
        </w:rPr>
      </w:pPr>
      <w:r w:rsidRPr="002B37C0">
        <w:rPr>
          <w:color w:val="000000"/>
          <w:sz w:val="22"/>
          <w:shd w:val="clear" w:color="auto" w:fill="FFFFFF"/>
        </w:rPr>
        <w:t xml:space="preserve">Zgromadzone w postępowaniach dowody wskazały, że zniesienie obowiązku umieszczania programów w określonych przez nadawców pakietach w praktyce nie wpłynęłoby na kształt pakietów oferowanych abonentom. Dodatkowo, przeniesienie programów z pakietów podstawowych o dużej oglądalności do pakietów tematycznych lub premium, </w:t>
      </w:r>
      <w:r w:rsidR="00E232C3">
        <w:rPr>
          <w:color w:val="000000"/>
          <w:sz w:val="22"/>
          <w:shd w:val="clear" w:color="auto" w:fill="FFFFFF"/>
        </w:rPr>
        <w:t>nabywanych</w:t>
      </w:r>
      <w:r w:rsidR="00E232C3" w:rsidRPr="002B37C0">
        <w:rPr>
          <w:color w:val="000000"/>
          <w:sz w:val="22"/>
          <w:shd w:val="clear" w:color="auto" w:fill="FFFFFF"/>
        </w:rPr>
        <w:t xml:space="preserve"> </w:t>
      </w:r>
      <w:r w:rsidRPr="002B37C0">
        <w:rPr>
          <w:color w:val="000000"/>
          <w:sz w:val="22"/>
          <w:shd w:val="clear" w:color="auto" w:fill="FFFFFF"/>
        </w:rPr>
        <w:t xml:space="preserve">przez mniejszą liczbę abonentów, mogłoby się wiązać ze spadkiem oglądalności tych programów, co z kolei przekładałoby się na obniżenie przychodów nadawców z reklam emitowanych w tych kanałach. Nadawcy, dążąc do zrekompensowania sobie spadków przychodów reklamowych, mogliby podnieść wysokość opłat pobieranych od operatorów </w:t>
      </w:r>
      <w:r w:rsidRPr="002B37C0">
        <w:rPr>
          <w:color w:val="000000"/>
          <w:sz w:val="22"/>
          <w:shd w:val="clear" w:color="auto" w:fill="FFFFFF"/>
        </w:rPr>
        <w:lastRenderedPageBreak/>
        <w:t xml:space="preserve">telewizyjnych. </w:t>
      </w:r>
      <w:r w:rsidR="00F122E2">
        <w:rPr>
          <w:color w:val="000000"/>
          <w:sz w:val="22"/>
          <w:shd w:val="clear" w:color="auto" w:fill="FFFFFF"/>
        </w:rPr>
        <w:t xml:space="preserve">W efekcie wzrostu cen na rynku ucierpieliby zarówno operatorzy telewizyjni nabywający pakiety od nadawców, jak i konsumenci będący klientami docelowymi. </w:t>
      </w:r>
    </w:p>
    <w:p w14:paraId="68C22A5E" w14:textId="713C9CDE" w:rsidR="002B37C0" w:rsidRPr="002B37C0" w:rsidRDefault="002B37C0" w:rsidP="00333EBB">
      <w:pPr>
        <w:spacing w:after="240" w:line="360" w:lineRule="auto"/>
        <w:jc w:val="both"/>
        <w:rPr>
          <w:color w:val="000000"/>
          <w:sz w:val="22"/>
          <w:shd w:val="clear" w:color="auto" w:fill="FFFFFF"/>
        </w:rPr>
      </w:pPr>
      <w:r w:rsidRPr="002B37C0">
        <w:rPr>
          <w:color w:val="000000"/>
          <w:sz w:val="22"/>
          <w:shd w:val="clear" w:color="auto" w:fill="FFFFFF"/>
        </w:rPr>
        <w:t xml:space="preserve">Wskazać również należy, że </w:t>
      </w:r>
      <w:r w:rsidR="00266AC5">
        <w:rPr>
          <w:color w:val="000000"/>
          <w:sz w:val="22"/>
          <w:shd w:val="clear" w:color="auto" w:fill="FFFFFF"/>
        </w:rPr>
        <w:t xml:space="preserve">w analizowanym okresie </w:t>
      </w:r>
      <w:r w:rsidRPr="002B37C0">
        <w:rPr>
          <w:color w:val="000000"/>
          <w:sz w:val="22"/>
          <w:shd w:val="clear" w:color="auto" w:fill="FFFFFF"/>
        </w:rPr>
        <w:t xml:space="preserve">konsumenci </w:t>
      </w:r>
      <w:r w:rsidR="00F122E2">
        <w:rPr>
          <w:color w:val="000000"/>
          <w:sz w:val="22"/>
          <w:shd w:val="clear" w:color="auto" w:fill="FFFFFF"/>
        </w:rPr>
        <w:t>zyskali</w:t>
      </w:r>
      <w:r w:rsidRPr="002B37C0">
        <w:rPr>
          <w:color w:val="000000"/>
          <w:sz w:val="22"/>
          <w:shd w:val="clear" w:color="auto" w:fill="FFFFFF"/>
        </w:rPr>
        <w:t xml:space="preserve"> </w:t>
      </w:r>
      <w:r w:rsidR="00266AC5">
        <w:rPr>
          <w:color w:val="000000"/>
          <w:sz w:val="22"/>
          <w:shd w:val="clear" w:color="auto" w:fill="FFFFFF"/>
        </w:rPr>
        <w:t>znacząco</w:t>
      </w:r>
      <w:r w:rsidRPr="002B37C0">
        <w:rPr>
          <w:color w:val="000000"/>
          <w:sz w:val="22"/>
          <w:shd w:val="clear" w:color="auto" w:fill="FFFFFF"/>
        </w:rPr>
        <w:t xml:space="preserve"> więcej możliwości swobodnego wyboru treści, które oglądają. Wynika to ze wzrostu popularności platform VOD (serwisów streamingowych), dzięki którym widzowie mogą oglądać dowolne programy zgodnie ze swoimi preferencjami, w wybranym przez siebie czasie i miejscu. Skutkuje to </w:t>
      </w:r>
      <w:r w:rsidR="00F122E2">
        <w:rPr>
          <w:color w:val="000000"/>
          <w:sz w:val="22"/>
          <w:shd w:val="clear" w:color="auto" w:fill="FFFFFF"/>
        </w:rPr>
        <w:t xml:space="preserve">postępującą </w:t>
      </w:r>
      <w:r w:rsidRPr="002B37C0">
        <w:rPr>
          <w:color w:val="000000"/>
          <w:sz w:val="22"/>
          <w:shd w:val="clear" w:color="auto" w:fill="FFFFFF"/>
        </w:rPr>
        <w:t xml:space="preserve">zmianą przyzwyczajeń konsumentów, którzy coraz częściej wybierają treści na żądanie spośród katalogu programów dostarczanych przez szereg usługodawców. </w:t>
      </w:r>
      <w:r w:rsidR="00F122E2">
        <w:rPr>
          <w:color w:val="000000"/>
          <w:sz w:val="22"/>
          <w:shd w:val="clear" w:color="auto" w:fill="FFFFFF"/>
        </w:rPr>
        <w:t xml:space="preserve">To również zostało uwzględnione w analizie przeprowadzonej w toku postępowania. </w:t>
      </w:r>
    </w:p>
    <w:p w14:paraId="7BE04850" w14:textId="586869BB" w:rsidR="002B37C0" w:rsidRPr="002B37C0" w:rsidRDefault="002B37C0" w:rsidP="00333EBB">
      <w:pPr>
        <w:spacing w:after="240" w:line="360" w:lineRule="auto"/>
        <w:jc w:val="both"/>
        <w:rPr>
          <w:color w:val="000000"/>
          <w:sz w:val="22"/>
          <w:shd w:val="clear" w:color="auto" w:fill="FFFFFF"/>
        </w:rPr>
      </w:pPr>
      <w:r w:rsidRPr="002B37C0">
        <w:rPr>
          <w:rFonts w:eastAsiaTheme="minorHAnsi"/>
          <w:sz w:val="22"/>
        </w:rPr>
        <w:t xml:space="preserve">Jak wskazują </w:t>
      </w:r>
      <w:hyperlink r:id="rId9" w:history="1">
        <w:r w:rsidRPr="00333EBB">
          <w:rPr>
            <w:rStyle w:val="Hipercze"/>
            <w:rFonts w:eastAsiaTheme="minorHAnsi"/>
            <w:sz w:val="22"/>
          </w:rPr>
          <w:t>dane K</w:t>
        </w:r>
        <w:r w:rsidR="00333EBB" w:rsidRPr="00333EBB">
          <w:rPr>
            <w:rStyle w:val="Hipercze"/>
            <w:rFonts w:eastAsiaTheme="minorHAnsi"/>
            <w:sz w:val="22"/>
          </w:rPr>
          <w:t>rajowej Rady Radiofonii i Telewizji</w:t>
        </w:r>
      </w:hyperlink>
      <w:r w:rsidRPr="002B37C0">
        <w:rPr>
          <w:rFonts w:eastAsiaTheme="minorHAnsi"/>
          <w:sz w:val="22"/>
        </w:rPr>
        <w:t xml:space="preserve">, obserwowany jest także spadek zainteresowania telewizją. </w:t>
      </w:r>
      <w:r w:rsidRPr="002B37C0">
        <w:rPr>
          <w:color w:val="000000"/>
          <w:sz w:val="22"/>
          <w:shd w:val="clear" w:color="auto" w:fill="FFFFFF"/>
        </w:rPr>
        <w:t>Chociaż klasyczna telewizja</w:t>
      </w:r>
      <w:r w:rsidRPr="002B37C0">
        <w:rPr>
          <w:sz w:val="22"/>
        </w:rPr>
        <w:t xml:space="preserve"> </w:t>
      </w:r>
      <w:r w:rsidRPr="002B37C0">
        <w:rPr>
          <w:color w:val="000000"/>
          <w:sz w:val="22"/>
          <w:shd w:val="clear" w:color="auto" w:fill="FFFFFF"/>
        </w:rPr>
        <w:t>nadal pozostaje istotnym modelem konsumpcji mediów, przewiduje się dalszy wzrost znaczenia usług VOD, a co za tym idzie możliwość łatwiejszego decydowania przez konsumentów o ich wyborach w zakresie treści audiowizualnych.</w:t>
      </w:r>
    </w:p>
    <w:p w14:paraId="6643220A" w14:textId="2C06339A" w:rsidR="002B37C0" w:rsidRPr="002B37C0" w:rsidRDefault="00F122E2" w:rsidP="00333EBB">
      <w:pPr>
        <w:spacing w:after="240" w:line="360" w:lineRule="auto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Uwzględniając wszystkie wyżej wskazane aspekty oraz </w:t>
      </w:r>
      <w:r w:rsidR="00266AC5">
        <w:rPr>
          <w:color w:val="000000"/>
          <w:sz w:val="22"/>
          <w:shd w:val="clear" w:color="auto" w:fill="FFFFFF"/>
        </w:rPr>
        <w:t xml:space="preserve">zebrany </w:t>
      </w:r>
      <w:r>
        <w:rPr>
          <w:color w:val="000000"/>
          <w:sz w:val="22"/>
          <w:shd w:val="clear" w:color="auto" w:fill="FFFFFF"/>
        </w:rPr>
        <w:t xml:space="preserve">materiał </w:t>
      </w:r>
      <w:r w:rsidR="00266AC5">
        <w:rPr>
          <w:color w:val="000000"/>
          <w:sz w:val="22"/>
          <w:shd w:val="clear" w:color="auto" w:fill="FFFFFF"/>
        </w:rPr>
        <w:t>dowodowy</w:t>
      </w:r>
      <w:r w:rsidR="002B37C0" w:rsidRPr="002B37C0">
        <w:rPr>
          <w:color w:val="000000"/>
          <w:sz w:val="22"/>
          <w:shd w:val="clear" w:color="auto" w:fill="FFFFFF"/>
        </w:rPr>
        <w:t xml:space="preserve"> Prezes </w:t>
      </w:r>
      <w:r w:rsidR="00AB2BCB" w:rsidRPr="002B37C0">
        <w:rPr>
          <w:color w:val="000000"/>
          <w:sz w:val="22"/>
          <w:shd w:val="clear" w:color="auto" w:fill="FFFFFF"/>
        </w:rPr>
        <w:t>U</w:t>
      </w:r>
      <w:r w:rsidR="00AB2BCB">
        <w:rPr>
          <w:color w:val="000000"/>
          <w:sz w:val="22"/>
          <w:shd w:val="clear" w:color="auto" w:fill="FFFFFF"/>
        </w:rPr>
        <w:t>rzędu</w:t>
      </w:r>
      <w:r w:rsidR="00AB2BCB" w:rsidRPr="002B37C0">
        <w:rPr>
          <w:color w:val="000000"/>
          <w:sz w:val="22"/>
          <w:shd w:val="clear" w:color="auto" w:fill="FFFFFF"/>
        </w:rPr>
        <w:t xml:space="preserve"> </w:t>
      </w:r>
      <w:r w:rsidR="002B37C0" w:rsidRPr="002B37C0">
        <w:rPr>
          <w:color w:val="000000"/>
          <w:sz w:val="22"/>
          <w:shd w:val="clear" w:color="auto" w:fill="FFFFFF"/>
        </w:rPr>
        <w:t>zdecydował o umorzeniu prowadzonych przeciwko tym podmiotom postępowań antymonopolowych.</w:t>
      </w:r>
    </w:p>
    <w:p w14:paraId="53CEC950" w14:textId="4BEF71F1" w:rsidR="006A123E" w:rsidRPr="002B37C0" w:rsidRDefault="006A123E" w:rsidP="00333EBB">
      <w:pPr>
        <w:spacing w:after="240" w:line="360" w:lineRule="auto"/>
        <w:jc w:val="both"/>
        <w:rPr>
          <w:b/>
          <w:sz w:val="22"/>
        </w:rPr>
      </w:pPr>
      <w:r w:rsidRPr="002B37C0">
        <w:rPr>
          <w:b/>
          <w:sz w:val="22"/>
        </w:rPr>
        <w:t xml:space="preserve">Poinformuj Urząd </w:t>
      </w:r>
    </w:p>
    <w:p w14:paraId="1B15EF90" w14:textId="77777777" w:rsidR="006A123E" w:rsidRDefault="006A123E" w:rsidP="00333EBB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Przypominamy, że prowadzimy program pozyskiwania informacji od anonimowych sygnalistów. Chcesz poinformować UOKiK o praktykach ograniczających konkurencję? Wejdź na </w:t>
      </w:r>
      <w:hyperlink r:id="rId10" w:history="1">
        <w:r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14:paraId="4234FD40" w14:textId="4CB330DB" w:rsidR="00733789" w:rsidRPr="00733789" w:rsidRDefault="00733789" w:rsidP="00333EBB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7C886" w14:textId="77777777" w:rsidR="00C24F88" w:rsidRDefault="00C24F88">
      <w:r>
        <w:separator/>
      </w:r>
    </w:p>
  </w:endnote>
  <w:endnote w:type="continuationSeparator" w:id="0">
    <w:p w14:paraId="61DFFC95" w14:textId="77777777" w:rsidR="00C24F88" w:rsidRDefault="00C2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7A478" w14:textId="77777777" w:rsidR="00C24F88" w:rsidRDefault="00C24F88">
      <w:r>
        <w:separator/>
      </w:r>
    </w:p>
  </w:footnote>
  <w:footnote w:type="continuationSeparator" w:id="0">
    <w:p w14:paraId="553F6C82" w14:textId="77777777" w:rsidR="00C24F88" w:rsidRDefault="00C2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B4EA2"/>
    <w:multiLevelType w:val="hybridMultilevel"/>
    <w:tmpl w:val="D090C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10"/>
  </w:num>
  <w:num w:numId="6">
    <w:abstractNumId w:val="6"/>
  </w:num>
  <w:num w:numId="7">
    <w:abstractNumId w:val="16"/>
  </w:num>
  <w:num w:numId="8">
    <w:abstractNumId w:val="18"/>
  </w:num>
  <w:num w:numId="9">
    <w:abstractNumId w:val="7"/>
  </w:num>
  <w:num w:numId="10">
    <w:abstractNumId w:val="1"/>
  </w:num>
  <w:num w:numId="11">
    <w:abstractNumId w:val="3"/>
  </w:num>
  <w:num w:numId="12">
    <w:abstractNumId w:val="15"/>
  </w:num>
  <w:num w:numId="13">
    <w:abstractNumId w:val="8"/>
  </w:num>
  <w:num w:numId="14">
    <w:abstractNumId w:val="13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63D5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11BD"/>
    <w:rsid w:val="000B149D"/>
    <w:rsid w:val="000B1AC5"/>
    <w:rsid w:val="000B3CAE"/>
    <w:rsid w:val="000B436A"/>
    <w:rsid w:val="000B7247"/>
    <w:rsid w:val="000C0542"/>
    <w:rsid w:val="000C0919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87045"/>
    <w:rsid w:val="00190D5A"/>
    <w:rsid w:val="00193B87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AC5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37C0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D14E9"/>
    <w:rsid w:val="002E388C"/>
    <w:rsid w:val="002E4BE8"/>
    <w:rsid w:val="002E5BEF"/>
    <w:rsid w:val="002E691A"/>
    <w:rsid w:val="002F1BF3"/>
    <w:rsid w:val="002F2C49"/>
    <w:rsid w:val="002F4D43"/>
    <w:rsid w:val="002F5879"/>
    <w:rsid w:val="002F7519"/>
    <w:rsid w:val="003035B9"/>
    <w:rsid w:val="003039AF"/>
    <w:rsid w:val="003056C6"/>
    <w:rsid w:val="003077B8"/>
    <w:rsid w:val="003108E8"/>
    <w:rsid w:val="00311B14"/>
    <w:rsid w:val="00312FBD"/>
    <w:rsid w:val="00313699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3EBB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959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A6BCD"/>
    <w:rsid w:val="004B1B9B"/>
    <w:rsid w:val="004B2DB0"/>
    <w:rsid w:val="004B5A4D"/>
    <w:rsid w:val="004B6F07"/>
    <w:rsid w:val="004C0F9E"/>
    <w:rsid w:val="004C1243"/>
    <w:rsid w:val="004C12A8"/>
    <w:rsid w:val="004C4616"/>
    <w:rsid w:val="004C4703"/>
    <w:rsid w:val="004C5C26"/>
    <w:rsid w:val="004C6885"/>
    <w:rsid w:val="004D5977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208C"/>
    <w:rsid w:val="00553291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17A69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27385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1214"/>
    <w:rsid w:val="00882D42"/>
    <w:rsid w:val="00884A37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7CE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76A7B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587"/>
    <w:rsid w:val="00A116C6"/>
    <w:rsid w:val="00A11F5B"/>
    <w:rsid w:val="00A13244"/>
    <w:rsid w:val="00A15933"/>
    <w:rsid w:val="00A15CE2"/>
    <w:rsid w:val="00A15FAA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2845"/>
    <w:rsid w:val="00A76293"/>
    <w:rsid w:val="00A77D2D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2BCB"/>
    <w:rsid w:val="00AB30DB"/>
    <w:rsid w:val="00AB397A"/>
    <w:rsid w:val="00AB5352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E4D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0F0D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0DC3"/>
    <w:rsid w:val="00BE1580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4F88"/>
    <w:rsid w:val="00C25569"/>
    <w:rsid w:val="00C27207"/>
    <w:rsid w:val="00C27366"/>
    <w:rsid w:val="00C36125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A70"/>
    <w:rsid w:val="00C65544"/>
    <w:rsid w:val="00C655F4"/>
    <w:rsid w:val="00C67906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513D"/>
    <w:rsid w:val="00CF11F7"/>
    <w:rsid w:val="00CF22A5"/>
    <w:rsid w:val="00CF31D5"/>
    <w:rsid w:val="00CF67BF"/>
    <w:rsid w:val="00D01441"/>
    <w:rsid w:val="00D024B7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2E3E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3D2E"/>
    <w:rsid w:val="00D741B8"/>
    <w:rsid w:val="00D768A4"/>
    <w:rsid w:val="00D839D1"/>
    <w:rsid w:val="00D86742"/>
    <w:rsid w:val="00D87864"/>
    <w:rsid w:val="00D9049D"/>
    <w:rsid w:val="00D92517"/>
    <w:rsid w:val="00D9271F"/>
    <w:rsid w:val="00D927A9"/>
    <w:rsid w:val="00D92F52"/>
    <w:rsid w:val="00D93148"/>
    <w:rsid w:val="00D95BAD"/>
    <w:rsid w:val="00DA116F"/>
    <w:rsid w:val="00DA1C6B"/>
    <w:rsid w:val="00DA2344"/>
    <w:rsid w:val="00DA41F2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32C3"/>
    <w:rsid w:val="00E24825"/>
    <w:rsid w:val="00E261E6"/>
    <w:rsid w:val="00E26AB0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D89"/>
    <w:rsid w:val="00EF4E88"/>
    <w:rsid w:val="00EF713A"/>
    <w:rsid w:val="00F026ED"/>
    <w:rsid w:val="00F122E2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3D5"/>
    <w:rsid w:val="00F46601"/>
    <w:rsid w:val="00F467D7"/>
    <w:rsid w:val="00F46D0D"/>
    <w:rsid w:val="00F5102A"/>
    <w:rsid w:val="00F533F6"/>
    <w:rsid w:val="00F5613E"/>
    <w:rsid w:val="00F57273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iPriority w:val="99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uiPriority w:val="99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attachment/95c491e2-eec5-48c8-a25a-7987d2d7f71b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1913-303B-43B3-8575-56295E81022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737A20E-CC64-41C0-B946-D6FD7BBB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2024-02-29T12:06:00Z</cp:lastPrinted>
  <dcterms:created xsi:type="dcterms:W3CDTF">2024-10-28T13:20:00Z</dcterms:created>
  <dcterms:modified xsi:type="dcterms:W3CDTF">2024-10-28T14:20:00Z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e73f9000-8417-4fd4-a52d-2635326b7fa8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