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CFAA" w14:textId="646E2408" w:rsidR="009C5301" w:rsidRDefault="00713FBF" w:rsidP="009C5301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Zmowy na rynku pracy </w:t>
      </w:r>
      <w:r w:rsidR="00545045" w:rsidRPr="00A47604">
        <w:rPr>
          <w:sz w:val="32"/>
          <w:szCs w:val="32"/>
        </w:rPr>
        <w:t>-</w:t>
      </w:r>
      <w:r>
        <w:rPr>
          <w:sz w:val="32"/>
          <w:szCs w:val="32"/>
        </w:rPr>
        <w:t xml:space="preserve"> Ty też możesz oddać głos na</w:t>
      </w:r>
      <w:r w:rsidR="006E7028">
        <w:rPr>
          <w:sz w:val="32"/>
          <w:szCs w:val="32"/>
        </w:rPr>
        <w:t xml:space="preserve"> nasz </w:t>
      </w:r>
      <w:r>
        <w:rPr>
          <w:sz w:val="32"/>
          <w:szCs w:val="32"/>
        </w:rPr>
        <w:t xml:space="preserve"> poradnik </w:t>
      </w:r>
    </w:p>
    <w:p w14:paraId="67D5CF7F" w14:textId="2D57CA35" w:rsidR="00D935D1" w:rsidRPr="005763EB" w:rsidRDefault="00D935D1" w:rsidP="00713FB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240" w:afterAutospacing="0" w:line="360" w:lineRule="auto"/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</w:pP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Poradnik UOKiK dotyczący zmów na rynku pracy nominowany do nagrody za najlepsz</w:t>
      </w:r>
      <w:r w:rsidR="00713FBF"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ą</w:t>
      </w: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 xml:space="preserve"> europejską publikację w ochronie konkurencji w 2024 r.</w:t>
      </w:r>
    </w:p>
    <w:p w14:paraId="10861F8B" w14:textId="1B0D9D2E" w:rsidR="00D935D1" w:rsidRPr="005763EB" w:rsidRDefault="00D935D1" w:rsidP="00713FB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240" w:afterAutospacing="0" w:line="360" w:lineRule="auto"/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</w:pP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Dokument ma szans</w:t>
      </w:r>
      <w:r w:rsidR="00EA5A02"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ę</w:t>
      </w: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 xml:space="preserve"> wygrać w kategorii </w:t>
      </w:r>
      <w:r w:rsidR="00713FBF"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s</w:t>
      </w: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 xml:space="preserve">oft </w:t>
      </w:r>
      <w:r w:rsidR="00713FBF"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l</w:t>
      </w: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aw</w:t>
      </w:r>
      <w:r w:rsidR="00713FBF"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 xml:space="preserve"> &amp; studies</w:t>
      </w:r>
      <w:r w:rsidR="006E7028"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.</w:t>
      </w:r>
    </w:p>
    <w:p w14:paraId="3C452113" w14:textId="34EB6E6C" w:rsidR="00D935D1" w:rsidRPr="005763EB" w:rsidRDefault="00D935D1" w:rsidP="00713FB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240" w:afterAutospacing="0" w:line="360" w:lineRule="auto"/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</w:pP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 xml:space="preserve">Zachęcamy do </w:t>
      </w:r>
      <w:hyperlink r:id="rId9" w:history="1">
        <w:r w:rsidRPr="005763EB">
          <w:rPr>
            <w:rStyle w:val="Hipercze"/>
            <w:rFonts w:ascii="Trebuchet MS" w:hAnsi="Trebuchet MS" w:cs="Arial"/>
            <w:b/>
            <w:sz w:val="22"/>
            <w:szCs w:val="22"/>
            <w:shd w:val="clear" w:color="auto" w:fill="FFFFFF"/>
          </w:rPr>
          <w:t>głosowania</w:t>
        </w:r>
      </w:hyperlink>
      <w:bookmarkStart w:id="0" w:name="_GoBack"/>
      <w:bookmarkEnd w:id="0"/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8B2613"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 xml:space="preserve">na nasz projekt </w:t>
      </w:r>
      <w:r w:rsidRPr="005763EB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t>w konkursie organizowanym przez portal Concurrences i George Washington University.</w:t>
      </w:r>
    </w:p>
    <w:p w14:paraId="6EF9BFAE" w14:textId="470615EA" w:rsidR="00D935D1" w:rsidRDefault="003E0C47" w:rsidP="00D935D1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D935D1">
        <w:rPr>
          <w:b/>
          <w:sz w:val="22"/>
        </w:rPr>
        <w:t xml:space="preserve"> </w:t>
      </w:r>
      <w:r w:rsidR="009C5301" w:rsidRPr="00D935D1">
        <w:rPr>
          <w:b/>
          <w:sz w:val="22"/>
        </w:rPr>
        <w:t xml:space="preserve">[Warszawa, </w:t>
      </w:r>
      <w:r w:rsidR="003B3FDA" w:rsidRPr="003B3FDA">
        <w:rPr>
          <w:b/>
          <w:sz w:val="22"/>
        </w:rPr>
        <w:t>23</w:t>
      </w:r>
      <w:r w:rsidR="009C5301" w:rsidRPr="003B3FDA">
        <w:rPr>
          <w:b/>
          <w:sz w:val="22"/>
        </w:rPr>
        <w:t xml:space="preserve"> </w:t>
      </w:r>
      <w:r w:rsidR="009F5DC0" w:rsidRPr="003B3FDA">
        <w:rPr>
          <w:b/>
          <w:sz w:val="22"/>
        </w:rPr>
        <w:t>stycznia</w:t>
      </w:r>
      <w:r w:rsidR="009C5301" w:rsidRPr="00D935D1">
        <w:rPr>
          <w:b/>
          <w:sz w:val="22"/>
        </w:rPr>
        <w:t xml:space="preserve"> 202</w:t>
      </w:r>
      <w:r w:rsidR="009F5DC0" w:rsidRPr="00D935D1">
        <w:rPr>
          <w:b/>
          <w:sz w:val="22"/>
        </w:rPr>
        <w:t>5</w:t>
      </w:r>
      <w:r w:rsidR="009C5301" w:rsidRPr="00D935D1">
        <w:rPr>
          <w:b/>
          <w:sz w:val="22"/>
        </w:rPr>
        <w:t xml:space="preserve"> r.] </w:t>
      </w:r>
      <w:r w:rsidR="00D935D1" w:rsidRPr="00D935D1">
        <w:rPr>
          <w:rFonts w:cs="Arial"/>
          <w:color w:val="000000"/>
          <w:sz w:val="22"/>
          <w:shd w:val="clear" w:color="auto" w:fill="FFFFFF"/>
        </w:rPr>
        <w:t xml:space="preserve">Poradnik </w:t>
      </w:r>
      <w:r w:rsidR="00D935D1" w:rsidRPr="00D935D1">
        <w:rPr>
          <w:rFonts w:cs="Arial"/>
          <w:sz w:val="22"/>
          <w:lang w:eastAsia="pl-PL"/>
        </w:rPr>
        <w:t> </w:t>
      </w:r>
      <w:hyperlink r:id="rId10" w:tooltip="Zmowy i nadużycia na rynku pracy. Prawo konkurencji a sprawy pracownicze - poradnik UOKiK" w:history="1">
        <w:r w:rsidR="00D935D1" w:rsidRPr="00D935D1">
          <w:rPr>
            <w:rStyle w:val="Hipercze"/>
            <w:rFonts w:cs="Arial"/>
            <w:sz w:val="22"/>
            <w:lang w:eastAsia="pl-PL"/>
          </w:rPr>
          <w:t>„Zmowy i nadużycia na rynku pracy. Prawo konkurencji a sprawy pracownicze”</w:t>
        </w:r>
      </w:hyperlink>
      <w:r w:rsidR="00D935D1" w:rsidRPr="00D935D1">
        <w:rPr>
          <w:rFonts w:cs="Arial"/>
          <w:sz w:val="22"/>
          <w:lang w:eastAsia="pl-PL"/>
        </w:rPr>
        <w:t xml:space="preserve"> został wydany w lipcu 2024 r. W prosty sposób, na podstawie konkretnych przypadków z udziałem bohaterów publikacji Arka czy </w:t>
      </w:r>
      <w:r w:rsidR="006E7028">
        <w:rPr>
          <w:rFonts w:cs="Arial"/>
          <w:sz w:val="22"/>
          <w:lang w:eastAsia="pl-PL"/>
        </w:rPr>
        <w:t>A</w:t>
      </w:r>
      <w:r w:rsidR="00D935D1" w:rsidRPr="00D935D1">
        <w:rPr>
          <w:rFonts w:cs="Arial"/>
          <w:sz w:val="22"/>
          <w:lang w:eastAsia="pl-PL"/>
        </w:rPr>
        <w:t>urelii przedstawia, jakie praktyki mogą być uzn</w:t>
      </w:r>
      <w:r w:rsidR="006E7028">
        <w:rPr>
          <w:rFonts w:cs="Arial"/>
          <w:sz w:val="22"/>
          <w:lang w:eastAsia="pl-PL"/>
        </w:rPr>
        <w:t>a</w:t>
      </w:r>
      <w:r w:rsidR="00D935D1" w:rsidRPr="00D935D1">
        <w:rPr>
          <w:rFonts w:cs="Arial"/>
          <w:sz w:val="22"/>
          <w:lang w:eastAsia="pl-PL"/>
        </w:rPr>
        <w:t>ne za złamanie prawa. To szczególnie istotne ponieważ</w:t>
      </w:r>
      <w:r w:rsidR="006E7028">
        <w:rPr>
          <w:rFonts w:cs="Arial"/>
          <w:sz w:val="22"/>
          <w:lang w:eastAsia="pl-PL"/>
        </w:rPr>
        <w:t xml:space="preserve"> </w:t>
      </w:r>
      <w:r w:rsidR="00D935D1" w:rsidRPr="00D935D1">
        <w:rPr>
          <w:rFonts w:cs="Arial"/>
          <w:sz w:val="22"/>
          <w:lang w:eastAsia="pl-PL"/>
        </w:rPr>
        <w:t xml:space="preserve">zarówno pracodawcy, jak i pracownicy nie zdają sobie często sprawy, że porozumienia dotyczące pracowników mogą naruszać konkurencje i </w:t>
      </w:r>
      <w:r w:rsidR="006E7028" w:rsidRPr="00D935D1">
        <w:rPr>
          <w:rFonts w:cs="Arial"/>
          <w:sz w:val="22"/>
          <w:lang w:eastAsia="pl-PL"/>
        </w:rPr>
        <w:t>zakończyć</w:t>
      </w:r>
      <w:r w:rsidR="00D935D1" w:rsidRPr="00D935D1">
        <w:rPr>
          <w:rFonts w:cs="Arial"/>
          <w:sz w:val="22"/>
          <w:lang w:eastAsia="pl-PL"/>
        </w:rPr>
        <w:t xml:space="preserve"> się nałożeniem kary przez UOKiK. Dlatego jest to lektura obowiązkowa również dla szefów działów </w:t>
      </w:r>
      <w:r w:rsidR="00637372">
        <w:rPr>
          <w:rFonts w:cs="Arial"/>
          <w:sz w:val="22"/>
          <w:lang w:eastAsia="pl-PL"/>
        </w:rPr>
        <w:t>H</w:t>
      </w:r>
      <w:r w:rsidR="00D935D1" w:rsidRPr="00D935D1">
        <w:rPr>
          <w:rFonts w:cs="Arial"/>
          <w:sz w:val="22"/>
          <w:lang w:eastAsia="pl-PL"/>
        </w:rPr>
        <w:t xml:space="preserve">R – poradnik tłumaczy dlaczego oni również mogą złamać prawo i osobiście ponieść konsekwencje finansowe. </w:t>
      </w:r>
      <w:r w:rsidR="00484231">
        <w:rPr>
          <w:rFonts w:cs="Arial"/>
          <w:sz w:val="22"/>
          <w:lang w:eastAsia="pl-PL"/>
        </w:rPr>
        <w:t xml:space="preserve">Poradnik </w:t>
      </w:r>
      <w:r w:rsidR="00332825">
        <w:rPr>
          <w:rFonts w:cs="Arial"/>
          <w:sz w:val="22"/>
          <w:lang w:eastAsia="pl-PL"/>
        </w:rPr>
        <w:t xml:space="preserve">promowany był m.in. na </w:t>
      </w:r>
      <w:r w:rsidR="00637372">
        <w:rPr>
          <w:rFonts w:cs="Arial"/>
          <w:sz w:val="22"/>
          <w:lang w:eastAsia="pl-PL"/>
        </w:rPr>
        <w:t>profilach</w:t>
      </w:r>
      <w:r w:rsidR="00332825">
        <w:rPr>
          <w:rFonts w:cs="Arial"/>
          <w:sz w:val="22"/>
          <w:lang w:eastAsia="pl-PL"/>
        </w:rPr>
        <w:t xml:space="preserve"> UOKiK na portalu X oraz Instagramie, a także przy współpracy z Państwową Inspekcją Pracy oraz Ministerstwem Rodziny, Pracy i Polityki Społecznej.</w:t>
      </w:r>
    </w:p>
    <w:p w14:paraId="1CF76621" w14:textId="0D258ECC" w:rsidR="00713FBF" w:rsidRPr="00EA5A02" w:rsidRDefault="00713FBF" w:rsidP="00D935D1">
      <w:pPr>
        <w:spacing w:after="240" w:line="360" w:lineRule="auto"/>
        <w:jc w:val="both"/>
        <w:rPr>
          <w:rFonts w:cs="Arial"/>
          <w:b/>
          <w:color w:val="000000"/>
          <w:sz w:val="22"/>
          <w:shd w:val="clear" w:color="auto" w:fill="FFFFFF"/>
          <w:lang w:eastAsia="pl-PL"/>
        </w:rPr>
      </w:pPr>
      <w:r w:rsidRPr="00EA5A02">
        <w:rPr>
          <w:rFonts w:cs="Arial"/>
          <w:b/>
          <w:color w:val="000000"/>
          <w:sz w:val="22"/>
          <w:shd w:val="clear" w:color="auto" w:fill="FFFFFF"/>
          <w:lang w:eastAsia="pl-PL"/>
        </w:rPr>
        <w:t xml:space="preserve">Zmowy na rynku pracy - </w:t>
      </w:r>
      <w:r w:rsidR="00332825">
        <w:rPr>
          <w:rFonts w:cs="Arial"/>
          <w:b/>
          <w:color w:val="000000"/>
          <w:sz w:val="22"/>
          <w:shd w:val="clear" w:color="auto" w:fill="FFFFFF"/>
          <w:lang w:eastAsia="pl-PL"/>
        </w:rPr>
        <w:t xml:space="preserve">w tych wyborach </w:t>
      </w:r>
      <w:r w:rsidRPr="00EA5A02">
        <w:rPr>
          <w:rFonts w:cs="Arial"/>
          <w:b/>
          <w:color w:val="000000"/>
          <w:sz w:val="22"/>
          <w:shd w:val="clear" w:color="auto" w:fill="FFFFFF"/>
          <w:lang w:eastAsia="pl-PL"/>
        </w:rPr>
        <w:t>zagłosuj</w:t>
      </w:r>
      <w:r w:rsidR="00484231">
        <w:rPr>
          <w:rFonts w:cs="Arial"/>
          <w:b/>
          <w:color w:val="000000"/>
          <w:sz w:val="22"/>
          <w:shd w:val="clear" w:color="auto" w:fill="FFFFFF"/>
          <w:lang w:eastAsia="pl-PL"/>
        </w:rPr>
        <w:t xml:space="preserve"> na Areczka</w:t>
      </w:r>
    </w:p>
    <w:p w14:paraId="3F2FFBE9" w14:textId="63ED6A2A" w:rsidR="0072257D" w:rsidRDefault="00D935D1" w:rsidP="006E702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6E702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Publikacja UOKiK została nominowana w konkursie organizowanym przez portal </w:t>
      </w:r>
      <w:hyperlink r:id="rId11" w:history="1">
        <w:r w:rsidRPr="00EA5A02">
          <w:rPr>
            <w:rStyle w:val="Hipercze"/>
            <w:rFonts w:ascii="Trebuchet MS" w:hAnsi="Trebuchet MS" w:cs="Arial"/>
            <w:sz w:val="22"/>
            <w:szCs w:val="22"/>
            <w:shd w:val="clear" w:color="auto" w:fill="FFFFFF"/>
          </w:rPr>
          <w:t>Concurrences</w:t>
        </w:r>
      </w:hyperlink>
      <w:r w:rsidRPr="006E702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i </w:t>
      </w:r>
      <w:hyperlink r:id="rId12" w:history="1">
        <w:r w:rsidRPr="00EA5A02">
          <w:rPr>
            <w:rStyle w:val="Hipercze"/>
            <w:rFonts w:ascii="Trebuchet MS" w:hAnsi="Trebuchet MS" w:cs="Arial"/>
            <w:sz w:val="22"/>
            <w:szCs w:val="22"/>
            <w:shd w:val="clear" w:color="auto" w:fill="FFFFFF"/>
          </w:rPr>
          <w:t>Uniwersytet Jerzego Waszyngtona</w:t>
        </w:r>
      </w:hyperlink>
      <w:r w:rsidRPr="006E702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(The George Wa</w:t>
      </w:r>
      <w:r w:rsid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s</w:t>
      </w:r>
      <w:r w:rsidRPr="006E702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hington University). Poradnik może zostać naj</w:t>
      </w:r>
      <w:r w:rsidR="00D003CB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lepszą</w:t>
      </w:r>
      <w:r w:rsidRPr="006E702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europejsk</w:t>
      </w:r>
      <w:r w:rsidR="00D003CB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ą</w:t>
      </w:r>
      <w:r w:rsidRPr="006E702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publikacją w kategorii Soft Law &amp; Studies. </w:t>
      </w:r>
    </w:p>
    <w:p w14:paraId="0497F01A" w14:textId="03235F02" w:rsidR="00B00A14" w:rsidRDefault="0072257D" w:rsidP="006E702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- Nasz poradnik został nominowany do nagrody przez specjalistów z dziedziny prawa konkurencji – prawników, ekonomistów i akademików. </w:t>
      </w:r>
      <w:r w:rsidR="00A7798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Natomiast w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yboru </w:t>
      </w:r>
      <w:r w:rsidR="00B00A1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najlepszej publikacji dokona jury złożone z autorytetów</w:t>
      </w:r>
      <w:r w:rsidR="0063737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oraz</w:t>
      </w:r>
      <w:r w:rsidR="00B00A1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internauci. Dlatego zachęcamy do oddania głosu  na naszą publikację – mów</w:t>
      </w:r>
      <w:r w:rsidR="00A7798E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i</w:t>
      </w:r>
      <w:r w:rsidR="00B00A14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Prezes UOKiK Tomasz Chróstny.  </w:t>
      </w:r>
    </w:p>
    <w:p w14:paraId="746C0465" w14:textId="67691E71" w:rsidR="00B00A14" w:rsidRDefault="00B00A14" w:rsidP="006E702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Głosować można do 21 marca na </w:t>
      </w:r>
      <w:hyperlink r:id="rId13" w:history="1">
        <w:r w:rsidRPr="00B00A14">
          <w:rPr>
            <w:rStyle w:val="Hipercze"/>
            <w:rFonts w:ascii="Trebuchet MS" w:hAnsi="Trebuchet MS" w:cs="Arial"/>
            <w:sz w:val="22"/>
            <w:szCs w:val="22"/>
            <w:shd w:val="clear" w:color="auto" w:fill="FFFFFF"/>
          </w:rPr>
          <w:t>stronie portalu Concurrences</w:t>
        </w:r>
      </w:hyperlink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</w:p>
    <w:p w14:paraId="3A7BC86C" w14:textId="08D9124D" w:rsidR="00713FBF" w:rsidRPr="00A7798E" w:rsidRDefault="00713FBF" w:rsidP="006E702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</w:pPr>
      <w:r w:rsidRPr="00A7798E">
        <w:rPr>
          <w:rFonts w:ascii="Trebuchet MS" w:hAnsi="Trebuchet MS" w:cs="Arial"/>
          <w:b/>
          <w:color w:val="000000"/>
          <w:sz w:val="22"/>
          <w:szCs w:val="22"/>
          <w:shd w:val="clear" w:color="auto" w:fill="FFFFFF"/>
        </w:rPr>
        <w:lastRenderedPageBreak/>
        <w:t>Zmowy na rynku pracy – co jest zabronione</w:t>
      </w:r>
    </w:p>
    <w:p w14:paraId="4DE693D1" w14:textId="20971A52" w:rsidR="00D935D1" w:rsidRPr="006E7028" w:rsidRDefault="00D935D1" w:rsidP="006E7028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6E7028">
        <w:rPr>
          <w:rFonts w:cs="Arial"/>
          <w:sz w:val="22"/>
          <w:lang w:eastAsia="pl-PL"/>
        </w:rPr>
        <w:t xml:space="preserve">Przypominamy, że </w:t>
      </w:r>
      <w:r w:rsidR="00B00A14">
        <w:rPr>
          <w:rFonts w:cs="Arial"/>
          <w:sz w:val="22"/>
          <w:lang w:eastAsia="pl-PL"/>
        </w:rPr>
        <w:t>z</w:t>
      </w:r>
      <w:r w:rsidRPr="006E7028">
        <w:rPr>
          <w:rFonts w:cs="Arial"/>
          <w:sz w:val="22"/>
          <w:lang w:eastAsia="pl-PL"/>
        </w:rPr>
        <w:t xml:space="preserve">abronione jest wspólne ustalanie </w:t>
      </w:r>
      <w:r w:rsidR="00E06140">
        <w:rPr>
          <w:rFonts w:cs="Arial"/>
          <w:sz w:val="22"/>
          <w:lang w:eastAsia="pl-PL"/>
        </w:rPr>
        <w:t xml:space="preserve">przez konkurentów </w:t>
      </w:r>
      <w:r w:rsidRPr="006E7028">
        <w:rPr>
          <w:rFonts w:cs="Arial"/>
          <w:sz w:val="22"/>
          <w:lang w:eastAsia="pl-PL"/>
        </w:rPr>
        <w:t>wysokości płac dla pracowników, np. obniżenie lub ustalenie górnego pułapu zarobków, czy też brak podwyżek, tzw. </w:t>
      </w:r>
      <w:r w:rsidRPr="006E7028">
        <w:rPr>
          <w:rFonts w:cs="Arial"/>
          <w:b/>
          <w:bCs/>
          <w:sz w:val="22"/>
          <w:lang w:eastAsia="pl-PL"/>
        </w:rPr>
        <w:t>wage-fixing</w:t>
      </w:r>
      <w:r w:rsidRPr="006E7028">
        <w:rPr>
          <w:rFonts w:cs="Arial"/>
          <w:sz w:val="22"/>
          <w:lang w:eastAsia="pl-PL"/>
        </w:rPr>
        <w:t>. W takich przypadkach zmawiający się przedsiębiorcy eliminują ryzyko, że pracownik odejdzie z pracy po otrzymaniu lepszej oferty od konkurenta.</w:t>
      </w:r>
    </w:p>
    <w:p w14:paraId="21C18880" w14:textId="68DF6DCB" w:rsidR="00D935D1" w:rsidRPr="006E7028" w:rsidRDefault="00D935D1" w:rsidP="006E7028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6E7028">
        <w:rPr>
          <w:rFonts w:cs="Arial"/>
          <w:sz w:val="22"/>
          <w:lang w:eastAsia="pl-PL"/>
        </w:rPr>
        <w:t>Kolejnym przykładem naruszenia prawa są ustalenia</w:t>
      </w:r>
      <w:r w:rsidR="00890A3E">
        <w:rPr>
          <w:rFonts w:cs="Arial"/>
          <w:sz w:val="22"/>
          <w:lang w:eastAsia="pl-PL"/>
        </w:rPr>
        <w:t xml:space="preserve"> przez konkurentów</w:t>
      </w:r>
      <w:r w:rsidRPr="006E7028">
        <w:rPr>
          <w:rFonts w:cs="Arial"/>
          <w:sz w:val="22"/>
          <w:lang w:eastAsia="pl-PL"/>
        </w:rPr>
        <w:t xml:space="preserve"> o niekonkurowaniu o pracownika, tzw. </w:t>
      </w:r>
      <w:r w:rsidRPr="006E7028">
        <w:rPr>
          <w:rFonts w:cs="Arial"/>
          <w:b/>
          <w:bCs/>
          <w:sz w:val="22"/>
          <w:lang w:eastAsia="pl-PL"/>
        </w:rPr>
        <w:t>no-poaching.</w:t>
      </w:r>
      <w:r w:rsidRPr="006E7028">
        <w:rPr>
          <w:rFonts w:cs="Arial"/>
          <w:sz w:val="22"/>
          <w:lang w:eastAsia="pl-PL"/>
        </w:rPr>
        <w:t> Przedsiębiorcy w ten sposób eliminują ryzyko, że konkurent zrekrutuje ich pracownika. Mogą przy tym uzgodnić między sobą np. to, że nie będą </w:t>
      </w:r>
      <w:r w:rsidRPr="006E7028">
        <w:rPr>
          <w:rFonts w:cs="Arial"/>
          <w:b/>
          <w:bCs/>
          <w:sz w:val="22"/>
          <w:lang w:eastAsia="pl-PL"/>
        </w:rPr>
        <w:t>aktywnie</w:t>
      </w:r>
      <w:r w:rsidRPr="006E7028">
        <w:rPr>
          <w:rFonts w:cs="Arial"/>
          <w:sz w:val="22"/>
          <w:lang w:eastAsia="pl-PL"/>
        </w:rPr>
        <w:t> zabiegać o swoich pracowników. Ustalenia mogą mieć również formę bardziej </w:t>
      </w:r>
      <w:r w:rsidRPr="006E7028">
        <w:rPr>
          <w:rFonts w:cs="Arial"/>
          <w:b/>
          <w:bCs/>
          <w:sz w:val="22"/>
          <w:lang w:eastAsia="pl-PL"/>
        </w:rPr>
        <w:t>pasywną,</w:t>
      </w:r>
      <w:r w:rsidRPr="006E7028">
        <w:rPr>
          <w:rFonts w:cs="Arial"/>
          <w:sz w:val="22"/>
          <w:lang w:eastAsia="pl-PL"/>
        </w:rPr>
        <w:t> np. brak podjęcia rozmowy o pracę w przypadku otrzymania CV od pracownika drugiej strony zmowy.</w:t>
      </w:r>
    </w:p>
    <w:p w14:paraId="10B8D1BF" w14:textId="3436A7EE" w:rsidR="00D935D1" w:rsidRDefault="00D935D1" w:rsidP="006E702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6E7028">
        <w:rPr>
          <w:rFonts w:ascii="Trebuchet MS" w:hAnsi="Trebuchet MS" w:cs="Arial"/>
          <w:sz w:val="22"/>
          <w:szCs w:val="22"/>
        </w:rPr>
        <w:t>Niedozwolone może być również wspólne ustalanie innych warunków pracy, które wpływają na atrakcyjność pracodawcy, np. liczby dni pracy zdalnej.</w:t>
      </w:r>
    </w:p>
    <w:p w14:paraId="2FD52DBA" w14:textId="3FDC727C" w:rsidR="00B00A14" w:rsidRPr="00EA5A02" w:rsidRDefault="00EA5A02" w:rsidP="006E702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Za u</w:t>
      </w:r>
      <w:r w:rsidR="00B00A14"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dział w porozumieniu ograniczającym konkurencje </w:t>
      </w:r>
      <w:r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grożą</w:t>
      </w:r>
      <w:r w:rsidR="00B00A14"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kar</w:t>
      </w:r>
      <w:r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y</w:t>
      </w:r>
      <w:r w:rsidR="00B00A14"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finansow</w:t>
      </w:r>
      <w:r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e</w:t>
      </w:r>
      <w:r w:rsidR="00B00A14" w:rsidRPr="00EA5A0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 – do 10 proc. obrotu dla przedsiębiorcy i do 2 mln zł dla menadżerów bezpośrednio odpowiedzialnych za niedozwolone ustalenia.</w:t>
      </w:r>
    </w:p>
    <w:p w14:paraId="1D534DA7" w14:textId="6DC65FD7" w:rsidR="00D935D1" w:rsidRPr="006E7028" w:rsidRDefault="00D935D1" w:rsidP="006E702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6E7028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Poradnik </w:t>
      </w:r>
      <w:r w:rsidRPr="006E7028">
        <w:rPr>
          <w:rFonts w:ascii="Trebuchet MS" w:hAnsi="Trebuchet MS" w:cs="Arial"/>
          <w:sz w:val="22"/>
          <w:szCs w:val="22"/>
        </w:rPr>
        <w:t xml:space="preserve">„Zmowy i nadużycia na rynku pracy. Prawo konkurencji a sprawy pracownicze” można pobrać ze </w:t>
      </w:r>
      <w:hyperlink r:id="rId14" w:history="1">
        <w:r w:rsidRPr="006E7028">
          <w:rPr>
            <w:rStyle w:val="Hipercze"/>
            <w:rFonts w:ascii="Trebuchet MS" w:hAnsi="Trebuchet MS" w:cs="Arial"/>
            <w:sz w:val="22"/>
            <w:szCs w:val="22"/>
          </w:rPr>
          <w:t>strony UOKiK</w:t>
        </w:r>
      </w:hyperlink>
      <w:r w:rsidR="00637372">
        <w:rPr>
          <w:rStyle w:val="Hipercze"/>
          <w:rFonts w:ascii="Trebuchet MS" w:hAnsi="Trebuchet MS" w:cs="Arial"/>
          <w:sz w:val="22"/>
          <w:szCs w:val="22"/>
        </w:rPr>
        <w:t>.</w:t>
      </w:r>
    </w:p>
    <w:p w14:paraId="1FD6BB2A" w14:textId="77777777" w:rsidR="00D935D1" w:rsidRPr="00D935D1" w:rsidRDefault="00D935D1" w:rsidP="00D935D1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7DB42A79" w14:textId="4DDD872D" w:rsidR="00D935D1" w:rsidRPr="00E42A81" w:rsidRDefault="00D935D1" w:rsidP="00D935D1">
      <w:pPr>
        <w:spacing w:after="240" w:line="360" w:lineRule="auto"/>
        <w:jc w:val="both"/>
      </w:pPr>
    </w:p>
    <w:p w14:paraId="4234FD40" w14:textId="09B1BF49" w:rsidR="00733789" w:rsidRPr="00E42A81" w:rsidRDefault="00733789" w:rsidP="00E42A81">
      <w:pPr>
        <w:shd w:val="clear" w:color="auto" w:fill="FFFFFF"/>
        <w:spacing w:after="240" w:line="360" w:lineRule="auto"/>
        <w:jc w:val="both"/>
      </w:pPr>
    </w:p>
    <w:sectPr w:rsidR="00733789" w:rsidRPr="00E42A81" w:rsidSect="003742FC">
      <w:headerReference w:type="default" r:id="rId15"/>
      <w:footerReference w:type="default" r:id="rId16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E54FB" w14:textId="77777777" w:rsidR="00444DC7" w:rsidRDefault="00444DC7">
      <w:r>
        <w:separator/>
      </w:r>
    </w:p>
  </w:endnote>
  <w:endnote w:type="continuationSeparator" w:id="0">
    <w:p w14:paraId="70168FE3" w14:textId="77777777" w:rsidR="00444DC7" w:rsidRDefault="004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3412B" w14:textId="77777777" w:rsidR="00444DC7" w:rsidRDefault="00444DC7">
      <w:r>
        <w:separator/>
      </w:r>
    </w:p>
  </w:footnote>
  <w:footnote w:type="continuationSeparator" w:id="0">
    <w:p w14:paraId="6DE907B4" w14:textId="77777777" w:rsidR="00444DC7" w:rsidRDefault="0044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DE0C9A"/>
    <w:multiLevelType w:val="hybridMultilevel"/>
    <w:tmpl w:val="327C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1"/>
  </w:num>
  <w:num w:numId="6">
    <w:abstractNumId w:val="7"/>
  </w:num>
  <w:num w:numId="7">
    <w:abstractNumId w:val="16"/>
  </w:num>
  <w:num w:numId="8">
    <w:abstractNumId w:val="18"/>
  </w:num>
  <w:num w:numId="9">
    <w:abstractNumId w:val="8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4"/>
  </w:num>
  <w:num w:numId="17">
    <w:abstractNumId w:val="0"/>
  </w:num>
  <w:num w:numId="18">
    <w:abstractNumId w:val="17"/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044"/>
    <w:rsid w:val="000651E9"/>
    <w:rsid w:val="00066FF0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197B"/>
    <w:rsid w:val="000F4784"/>
    <w:rsid w:val="000F6B81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32AC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2825"/>
    <w:rsid w:val="003348EF"/>
    <w:rsid w:val="0034059B"/>
    <w:rsid w:val="00342935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218F"/>
    <w:rsid w:val="003843AB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3FDA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17C22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4DC7"/>
    <w:rsid w:val="004450C8"/>
    <w:rsid w:val="00445594"/>
    <w:rsid w:val="00445960"/>
    <w:rsid w:val="0045095D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4231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2565"/>
    <w:rsid w:val="004C269D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5045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63EB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50B9"/>
    <w:rsid w:val="005F707D"/>
    <w:rsid w:val="00602A1B"/>
    <w:rsid w:val="006063D0"/>
    <w:rsid w:val="0061020D"/>
    <w:rsid w:val="00613C45"/>
    <w:rsid w:val="00616EE8"/>
    <w:rsid w:val="00621291"/>
    <w:rsid w:val="006226CE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372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028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BF"/>
    <w:rsid w:val="00713FF0"/>
    <w:rsid w:val="0071572D"/>
    <w:rsid w:val="007157BA"/>
    <w:rsid w:val="007169F9"/>
    <w:rsid w:val="00716B89"/>
    <w:rsid w:val="007174A6"/>
    <w:rsid w:val="007175DE"/>
    <w:rsid w:val="007224B3"/>
    <w:rsid w:val="0072257D"/>
    <w:rsid w:val="007228AF"/>
    <w:rsid w:val="00722D54"/>
    <w:rsid w:val="007234F9"/>
    <w:rsid w:val="0072598A"/>
    <w:rsid w:val="00730B76"/>
    <w:rsid w:val="00731303"/>
    <w:rsid w:val="0073163A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16A8"/>
    <w:rsid w:val="00794699"/>
    <w:rsid w:val="00796C41"/>
    <w:rsid w:val="007A19D8"/>
    <w:rsid w:val="007A3A49"/>
    <w:rsid w:val="007B18E7"/>
    <w:rsid w:val="007B3159"/>
    <w:rsid w:val="007B492C"/>
    <w:rsid w:val="007C1B0B"/>
    <w:rsid w:val="007D15E3"/>
    <w:rsid w:val="007D2A1A"/>
    <w:rsid w:val="007E109D"/>
    <w:rsid w:val="007E280D"/>
    <w:rsid w:val="007E36E4"/>
    <w:rsid w:val="007E7ECD"/>
    <w:rsid w:val="007F08D2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4CB6"/>
    <w:rsid w:val="008859F4"/>
    <w:rsid w:val="008903F4"/>
    <w:rsid w:val="00890A3E"/>
    <w:rsid w:val="00896985"/>
    <w:rsid w:val="00897547"/>
    <w:rsid w:val="00897717"/>
    <w:rsid w:val="008A2149"/>
    <w:rsid w:val="008B0995"/>
    <w:rsid w:val="008B0DEF"/>
    <w:rsid w:val="008B11F5"/>
    <w:rsid w:val="008B121F"/>
    <w:rsid w:val="008B22C8"/>
    <w:rsid w:val="008B2613"/>
    <w:rsid w:val="008B35E8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20076"/>
    <w:rsid w:val="00920FAF"/>
    <w:rsid w:val="00923FDD"/>
    <w:rsid w:val="00924ABC"/>
    <w:rsid w:val="0092697F"/>
    <w:rsid w:val="00926E08"/>
    <w:rsid w:val="009302B8"/>
    <w:rsid w:val="009339EB"/>
    <w:rsid w:val="0093514A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4E27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205"/>
    <w:rsid w:val="009A24E7"/>
    <w:rsid w:val="009A34CA"/>
    <w:rsid w:val="009A4312"/>
    <w:rsid w:val="009A5818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9F5DC0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98E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476D"/>
    <w:rsid w:val="00AD5AE2"/>
    <w:rsid w:val="00AD73A9"/>
    <w:rsid w:val="00AE0FF8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0A14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382E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2E26"/>
    <w:rsid w:val="00B8330B"/>
    <w:rsid w:val="00B865F1"/>
    <w:rsid w:val="00B86612"/>
    <w:rsid w:val="00B95999"/>
    <w:rsid w:val="00B9617F"/>
    <w:rsid w:val="00BA110A"/>
    <w:rsid w:val="00BA2505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34EB"/>
    <w:rsid w:val="00C3619D"/>
    <w:rsid w:val="00C36419"/>
    <w:rsid w:val="00C414FA"/>
    <w:rsid w:val="00C44041"/>
    <w:rsid w:val="00C44F6E"/>
    <w:rsid w:val="00C51571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6569"/>
    <w:rsid w:val="00CB78C9"/>
    <w:rsid w:val="00CC17D5"/>
    <w:rsid w:val="00CC2F62"/>
    <w:rsid w:val="00CC38CE"/>
    <w:rsid w:val="00CC71A3"/>
    <w:rsid w:val="00CC74B7"/>
    <w:rsid w:val="00CD033B"/>
    <w:rsid w:val="00CD039E"/>
    <w:rsid w:val="00CD04C2"/>
    <w:rsid w:val="00CD28D3"/>
    <w:rsid w:val="00CD2FFC"/>
    <w:rsid w:val="00CD34F0"/>
    <w:rsid w:val="00CD421A"/>
    <w:rsid w:val="00CE0954"/>
    <w:rsid w:val="00CE0D39"/>
    <w:rsid w:val="00CE0F84"/>
    <w:rsid w:val="00CE14F4"/>
    <w:rsid w:val="00CE31B3"/>
    <w:rsid w:val="00CF11F7"/>
    <w:rsid w:val="00CF22A5"/>
    <w:rsid w:val="00CF31D5"/>
    <w:rsid w:val="00CF67BF"/>
    <w:rsid w:val="00D003CB"/>
    <w:rsid w:val="00D01441"/>
    <w:rsid w:val="00D016F6"/>
    <w:rsid w:val="00D03C15"/>
    <w:rsid w:val="00D0600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A4D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39D1"/>
    <w:rsid w:val="00D86742"/>
    <w:rsid w:val="00D87864"/>
    <w:rsid w:val="00D9049D"/>
    <w:rsid w:val="00D927A9"/>
    <w:rsid w:val="00D92F52"/>
    <w:rsid w:val="00D935D1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140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562A"/>
    <w:rsid w:val="00E36032"/>
    <w:rsid w:val="00E4026A"/>
    <w:rsid w:val="00E42093"/>
    <w:rsid w:val="00E42A81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DF6"/>
    <w:rsid w:val="00E74FCC"/>
    <w:rsid w:val="00E76CD1"/>
    <w:rsid w:val="00E80CAC"/>
    <w:rsid w:val="00E80D6C"/>
    <w:rsid w:val="00E83415"/>
    <w:rsid w:val="00E83D25"/>
    <w:rsid w:val="00E96190"/>
    <w:rsid w:val="00E97015"/>
    <w:rsid w:val="00E97366"/>
    <w:rsid w:val="00EA088E"/>
    <w:rsid w:val="00EA2EAE"/>
    <w:rsid w:val="00EA5928"/>
    <w:rsid w:val="00EA5A02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4D5F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D7264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wards.concurrences.com/en/awards/2025/soft-laws-studies/collusion-and-abuses-on-the-labour-market-competition-law-and-labour-case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wu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currences.com/en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Download/725" TargetMode="External"/><Relationship Id="rId4" Type="http://schemas.openxmlformats.org/officeDocument/2006/relationships/styles" Target="styles.xml"/><Relationship Id="rId9" Type="http://schemas.openxmlformats.org/officeDocument/2006/relationships/hyperlink" Target="https://awards.concurrences.com/en/awards/2025/soft-laws-studies/collusion-and-abuses-on-the-labour-market-competition-law-and-labour-cases" TargetMode="External"/><Relationship Id="rId14" Type="http://schemas.openxmlformats.org/officeDocument/2006/relationships/hyperlink" Target="https://uokik.gov.pl/Download/72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9357-6EA5-4031-8327-496B52BE2E7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89A5659-71BB-4F4F-9D3A-EC0A67D5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2025-01-22T16:13:00Z</dcterms:created>
  <dcterms:modified xsi:type="dcterms:W3CDTF">2025-01-23T14:36:00Z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